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 xml:space="preserve">3GPP TSG-RAN WG4 Meeting # </w:t>
      </w:r>
      <w:r>
        <w:rPr>
          <w:rFonts w:ascii="Arial" w:hAnsi="Arial" w:cs="Arial"/>
          <w:b/>
        </w:rPr>
        <w:t>1</w:t>
      </w:r>
      <w:bookmarkStart w:id="0" w:name="_Hlk41145946"/>
      <w:r>
        <w:rPr>
          <w:rFonts w:hint="eastAsia" w:ascii="Arial" w:hAnsi="Arial" w:cs="Arial"/>
          <w:b/>
          <w:lang w:val="en-US" w:eastAsia="zh-CN"/>
        </w:rPr>
        <w:t>13</w:t>
      </w:r>
      <w:r>
        <w:rPr>
          <w:rFonts w:ascii="Arial" w:hAnsi="Arial" w:cs="Arial"/>
          <w:b/>
        </w:rPr>
        <w:tab/>
      </w:r>
      <w:r>
        <w:rPr>
          <w:rFonts w:ascii="Arial" w:hAnsi="Arial" w:cs="Arial"/>
          <w:b/>
          <w:bCs/>
        </w:rPr>
        <w:tab/>
      </w:r>
      <w:r>
        <w:rPr>
          <w:rFonts w:ascii="Arial" w:hAnsi="Arial" w:cs="Arial"/>
          <w:b/>
          <w:bCs/>
        </w:rPr>
        <w:t>R4-2</w:t>
      </w:r>
      <w:bookmarkEnd w:id="0"/>
      <w:r>
        <w:rPr>
          <w:rFonts w:hint="eastAsia" w:ascii="Arial" w:hAnsi="Arial" w:cs="Arial"/>
          <w:b/>
          <w:bCs/>
          <w:lang w:val="en-US" w:eastAsia="zh-CN"/>
        </w:rPr>
        <w:t>418421</w:t>
      </w:r>
      <w:bookmarkStart w:id="10" w:name="_GoBack"/>
      <w:bookmarkEnd w:id="10"/>
    </w:p>
    <w:p>
      <w:pPr>
        <w:pStyle w:val="18"/>
        <w:tabs>
          <w:tab w:val="right" w:pos="9781"/>
          <w:tab w:val="right" w:pos="13323"/>
          <w:tab w:val="clear" w:pos="4153"/>
          <w:tab w:val="clear" w:pos="8306"/>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Orlando, US,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22</w:t>
      </w:r>
      <w:r>
        <w:rPr>
          <w:rFonts w:ascii="Arial" w:hAnsi="Arial" w:eastAsia="宋体" w:cs="Arial"/>
          <w:b/>
          <w:sz w:val="24"/>
          <w:szCs w:val="24"/>
          <w:vertAlign w:val="superscript"/>
          <w:lang w:eastAsia="zh-CN"/>
        </w:rPr>
        <w:t>nd</w:t>
      </w:r>
      <w:r>
        <w:rPr>
          <w:rFonts w:ascii="Arial" w:hAnsi="Arial" w:eastAsia="宋体" w:cs="Arial"/>
          <w:b/>
          <w:sz w:val="24"/>
          <w:szCs w:val="24"/>
          <w:lang w:eastAsia="zh-CN"/>
        </w:rPr>
        <w:t xml:space="preserve"> November, 2024</w:t>
      </w:r>
    </w:p>
    <w:p>
      <w:pPr>
        <w:tabs>
          <w:tab w:val="left" w:pos="1985"/>
        </w:tabs>
        <w:rPr>
          <w:b/>
          <w:sz w:val="22"/>
        </w:rPr>
      </w:pPr>
    </w:p>
    <w:p>
      <w:pPr>
        <w:tabs>
          <w:tab w:val="left" w:pos="1765"/>
          <w:tab w:val="center" w:pos="4557"/>
        </w:tabs>
        <w:rPr>
          <w:rFonts w:hint="default" w:eastAsiaTheme="minorEastAsia"/>
          <w:b/>
          <w:sz w:val="22"/>
          <w:highlight w:val="none"/>
          <w:lang w:val="en-US" w:eastAsia="zh-CN"/>
        </w:rPr>
      </w:pPr>
      <w:r>
        <w:rPr>
          <w:b/>
          <w:sz w:val="22"/>
        </w:rPr>
        <w:t>Agenda Item</w:t>
      </w:r>
      <w:r>
        <w:rPr>
          <w:b/>
          <w:sz w:val="22"/>
          <w:highlight w:val="none"/>
        </w:rPr>
        <w:t>:</w:t>
      </w:r>
      <w:r>
        <w:rPr>
          <w:b/>
          <w:sz w:val="22"/>
          <w:highlight w:val="none"/>
        </w:rPr>
        <w:tab/>
      </w:r>
      <w:r>
        <w:rPr>
          <w:rFonts w:hint="eastAsia"/>
          <w:sz w:val="22"/>
          <w:highlight w:val="none"/>
          <w:lang w:val="en-US" w:eastAsia="zh-CN"/>
        </w:rPr>
        <w:t>5.21.3</w:t>
      </w:r>
    </w:p>
    <w:p>
      <w:pPr>
        <w:tabs>
          <w:tab w:val="left" w:pos="1765"/>
        </w:tabs>
        <w:rPr>
          <w:sz w:val="22"/>
        </w:rPr>
      </w:pPr>
      <w:r>
        <w:rPr>
          <w:b/>
          <w:sz w:val="22"/>
        </w:rPr>
        <w:t xml:space="preserve">Source: </w:t>
      </w:r>
      <w:r>
        <w:rPr>
          <w:b/>
          <w:sz w:val="22"/>
        </w:rPr>
        <w:tab/>
      </w:r>
      <w:bookmarkStart w:id="1" w:name="_Hlk41145958"/>
      <w:r>
        <w:rPr>
          <w:sz w:val="22"/>
        </w:rPr>
        <w:t>CMCC</w:t>
      </w:r>
      <w:bookmarkEnd w:id="1"/>
      <w:r>
        <w:rPr>
          <w:sz w:val="22"/>
        </w:rPr>
        <w:t xml:space="preserve"> </w:t>
      </w:r>
    </w:p>
    <w:p>
      <w:pPr>
        <w:rPr>
          <w:rFonts w:hint="default" w:eastAsiaTheme="minorEastAsia"/>
          <w:sz w:val="22"/>
          <w:lang w:val="en-US" w:eastAsia="zh-CN"/>
        </w:rPr>
      </w:pPr>
      <w:r>
        <w:rPr>
          <w:b/>
          <w:sz w:val="22"/>
        </w:rPr>
        <w:t xml:space="preserve">Title: </w:t>
      </w:r>
      <w:r>
        <w:rPr>
          <w:b/>
          <w:sz w:val="22"/>
        </w:rPr>
        <w:tab/>
      </w:r>
      <w:r>
        <w:rPr>
          <w:b/>
          <w:sz w:val="22"/>
        </w:rPr>
        <w:tab/>
      </w:r>
      <w:r>
        <w:rPr>
          <w:b/>
          <w:sz w:val="22"/>
        </w:rPr>
        <w:tab/>
      </w:r>
      <w:bookmarkStart w:id="2" w:name="_Hlk41145953"/>
      <w:bookmarkStart w:id="3" w:name="OLE_LINK7"/>
      <w:bookmarkStart w:id="4" w:name="OLE_LINK8"/>
      <w:r>
        <w:rPr>
          <w:sz w:val="22"/>
        </w:rPr>
        <w:t xml:space="preserve"> </w:t>
      </w:r>
      <w:bookmarkEnd w:id="2"/>
      <w:r>
        <w:rPr>
          <w:rFonts w:hint="eastAsia"/>
          <w:sz w:val="22"/>
        </w:rPr>
        <w:t>Discussion on core maintenance for N</w:t>
      </w:r>
      <w:r>
        <w:rPr>
          <w:rFonts w:hint="eastAsia"/>
          <w:sz w:val="22"/>
          <w:lang w:val="en-US" w:eastAsia="zh-CN"/>
        </w:rPr>
        <w:t>TN enhancement</w:t>
      </w:r>
    </w:p>
    <w:bookmarkEnd w:id="3"/>
    <w:bookmarkEnd w:id="4"/>
    <w:p>
      <w:pPr>
        <w:tabs>
          <w:tab w:val="left" w:pos="1765"/>
        </w:tabs>
        <w:rPr>
          <w:sz w:val="22"/>
        </w:rPr>
      </w:pPr>
      <w:r>
        <w:rPr>
          <w:b/>
          <w:sz w:val="22"/>
        </w:rPr>
        <w:t>Document for:</w:t>
      </w:r>
      <w:r>
        <w:rPr>
          <w:b/>
          <w:sz w:val="22"/>
        </w:rPr>
        <w:tab/>
      </w:r>
      <w:r>
        <w:rPr>
          <w:sz w:val="22"/>
        </w:rPr>
        <w:t>Discussion</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overflowPunct w:val="0"/>
        <w:autoSpaceDE w:val="0"/>
        <w:autoSpaceDN w:val="0"/>
        <w:adjustRightInd w:val="0"/>
        <w:spacing w:after="120"/>
        <w:jc w:val="both"/>
        <w:rPr>
          <w:rFonts w:hint="eastAsia" w:cs="Times New Roman"/>
          <w:sz w:val="20"/>
          <w:szCs w:val="20"/>
          <w:lang w:val="en-US" w:eastAsia="zh-CN"/>
        </w:rPr>
      </w:pPr>
      <w:r>
        <w:rPr>
          <w:rFonts w:hint="eastAsia" w:cs="Times New Roman"/>
          <w:sz w:val="20"/>
          <w:szCs w:val="20"/>
          <w:lang w:val="en-US" w:eastAsia="zh-CN"/>
        </w:rPr>
        <w:t>In past several meetings, RAN4 focused on the Rel-18 NTN maintenance issues, the latest progress has been agreed in the WF [1]. In this contribution, we further discuss on the leftovers.</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eastAsia="ko-KR"/>
        </w:rPr>
      </w:pPr>
      <w:bookmarkStart w:id="5" w:name="_Hlk70326378"/>
      <w:bookmarkStart w:id="6" w:name="OLE_LINK2"/>
      <w:bookmarkStart w:id="7" w:name="OLE_LINK1"/>
      <w:r>
        <w:rPr>
          <w:rFonts w:ascii="Times New Roman" w:hAnsi="Times New Roman"/>
          <w:b w:val="0"/>
          <w:bCs w:val="0"/>
          <w:kern w:val="0"/>
          <w:sz w:val="36"/>
          <w:szCs w:val="36"/>
          <w:lang w:val="en-GB"/>
        </w:rPr>
        <w:t>D</w:t>
      </w:r>
      <w:r>
        <w:rPr>
          <w:rFonts w:hint="eastAsia" w:ascii="Times New Roman" w:hAnsi="Times New Roman"/>
          <w:b w:val="0"/>
          <w:bCs w:val="0"/>
          <w:kern w:val="0"/>
          <w:sz w:val="36"/>
          <w:szCs w:val="36"/>
          <w:lang w:val="en-GB"/>
        </w:rPr>
        <w:t>iscussion</w:t>
      </w:r>
    </w:p>
    <w:p>
      <w:pPr>
        <w:rPr>
          <w:rFonts w:eastAsia="宋体"/>
          <w:b/>
          <w:i/>
          <w:iCs/>
          <w:sz w:val="20"/>
          <w:szCs w:val="20"/>
          <w:u w:val="single"/>
          <w:lang w:val="en-GB" w:eastAsia="ko-KR"/>
        </w:rPr>
      </w:pPr>
      <w:bookmarkStart w:id="8" w:name="OLE_LINK16"/>
      <w:r>
        <w:rPr>
          <w:rFonts w:eastAsia="宋体"/>
          <w:b/>
          <w:i/>
          <w:iCs/>
          <w:sz w:val="20"/>
          <w:szCs w:val="20"/>
          <w:u w:val="single"/>
          <w:lang w:val="en-GB" w:eastAsia="ko-KR"/>
        </w:rPr>
        <w:t>Issue 4-1: TN to NTN cell reselection</w:t>
      </w:r>
    </w:p>
    <w:p>
      <w:pPr>
        <w:keepNext w:val="0"/>
        <w:keepLines w:val="0"/>
        <w:pageBreakBefore w:val="0"/>
        <w:widowControl/>
        <w:kinsoku/>
        <w:wordWrap/>
        <w:topLinePunct w:val="0"/>
        <w:bidi w:val="0"/>
        <w:snapToGrid/>
        <w:spacing w:after="60"/>
        <w:rPr>
          <w:rFonts w:eastAsia="宋体"/>
          <w:b/>
          <w:bCs/>
          <w:i/>
          <w:iCs/>
          <w:sz w:val="20"/>
          <w:szCs w:val="20"/>
          <w:highlight w:val="none"/>
          <w:lang w:val="en-GB" w:eastAsia="zh-CN"/>
        </w:rPr>
      </w:pPr>
      <w:r>
        <w:rPr>
          <w:rFonts w:eastAsia="宋体"/>
          <w:b/>
          <w:bCs/>
          <w:i/>
          <w:iCs/>
          <w:sz w:val="20"/>
          <w:szCs w:val="20"/>
          <w:highlight w:val="none"/>
          <w:lang w:val="en-GB" w:eastAsia="zh-CN"/>
        </w:rPr>
        <w:t>Agreement (online):</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after="60"/>
        <w:ind w:left="720" w:hanging="360"/>
        <w:textAlignment w:val="baseline"/>
        <w:rPr>
          <w:rFonts w:eastAsia="宋体"/>
          <w:i/>
          <w:iCs/>
          <w:sz w:val="20"/>
          <w:szCs w:val="24"/>
          <w:highlight w:val="none"/>
          <w:lang w:val="en-US" w:eastAsia="zh-CN"/>
        </w:rPr>
      </w:pPr>
      <w:r>
        <w:rPr>
          <w:rFonts w:eastAsia="宋体"/>
          <w:i/>
          <w:iCs/>
          <w:sz w:val="20"/>
          <w:szCs w:val="24"/>
          <w:highlight w:val="none"/>
          <w:lang w:val="en-US" w:eastAsia="zh-CN"/>
        </w:rPr>
        <w:t>For NTN incapable UE, if both TN and NTN carriers are broadcasted for neighbour cells measurement in IDLE/Inactive mode, the existing TN-to-TN cell reselection requirements apply.</w:t>
      </w:r>
    </w:p>
    <w:p>
      <w:pPr>
        <w:overflowPunct w:val="0"/>
        <w:autoSpaceDE w:val="0"/>
        <w:autoSpaceDN w:val="0"/>
        <w:adjustRightInd w:val="0"/>
        <w:snapToGrid w:val="0"/>
        <w:spacing w:after="120" w:line="240" w:lineRule="auto"/>
        <w:textAlignment w:val="baseline"/>
        <w:rPr>
          <w:rFonts w:eastAsia="等线"/>
          <w:i/>
          <w:iCs w:val="0"/>
          <w:kern w:val="2"/>
          <w:sz w:val="20"/>
          <w:szCs w:val="20"/>
          <w:highlight w:val="none"/>
          <w:lang w:val="en-US" w:eastAsia="zh-CN"/>
        </w:rPr>
      </w:pPr>
      <w:r>
        <w:rPr>
          <w:rFonts w:eastAsia="等线"/>
          <w:i/>
          <w:iCs w:val="0"/>
          <w:kern w:val="2"/>
          <w:sz w:val="20"/>
          <w:szCs w:val="20"/>
          <w:highlight w:val="none"/>
          <w:lang w:val="en-US" w:eastAsia="zh-CN"/>
        </w:rPr>
        <w:t>FFS:</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after="60"/>
        <w:ind w:left="720" w:hanging="360"/>
        <w:textAlignment w:val="baseline"/>
        <w:rPr>
          <w:rFonts w:eastAsia="宋体"/>
          <w:i/>
          <w:iCs w:val="0"/>
          <w:sz w:val="20"/>
          <w:szCs w:val="20"/>
          <w:lang w:val="en-US" w:eastAsia="zh-CN"/>
        </w:rPr>
      </w:pPr>
      <w:r>
        <w:rPr>
          <w:i/>
          <w:iCs w:val="0"/>
          <w:sz w:val="20"/>
          <w:szCs w:val="20"/>
          <w:highlight w:val="none"/>
        </w:rPr>
        <w:t>For</w:t>
      </w:r>
      <w:r>
        <w:rPr>
          <w:i/>
          <w:iCs w:val="0"/>
          <w:sz w:val="20"/>
          <w:szCs w:val="20"/>
        </w:rPr>
        <w:t xml:space="preserve"> TN to NTN cell re-selection requirement when Srxlev ≤ S</w:t>
      </w:r>
      <w:r>
        <w:rPr>
          <w:i/>
          <w:iCs w:val="0"/>
          <w:sz w:val="20"/>
          <w:szCs w:val="20"/>
          <w:vertAlign w:val="subscript"/>
        </w:rPr>
        <w:t>nonIntraSearchP</w:t>
      </w:r>
      <w:r>
        <w:rPr>
          <w:i/>
          <w:iCs w:val="0"/>
          <w:sz w:val="20"/>
          <w:szCs w:val="20"/>
        </w:rPr>
        <w:t xml:space="preserve"> or Squal ≤ S</w:t>
      </w:r>
      <w:r>
        <w:rPr>
          <w:i/>
          <w:iCs w:val="0"/>
          <w:sz w:val="20"/>
          <w:szCs w:val="20"/>
          <w:vertAlign w:val="subscript"/>
        </w:rPr>
        <w:t>nonIntraSearchQ</w:t>
      </w:r>
      <w:r>
        <w:rPr>
          <w:i/>
          <w:iCs w:val="0"/>
          <w:sz w:val="20"/>
          <w:szCs w:val="20"/>
        </w:rPr>
        <w:t>, if UE is configured by network to have at least one high priority carrier which contains NTN cells, the requirements for GNSS ON shall be applied</w:t>
      </w:r>
    </w:p>
    <w:bookmarkEnd w:id="8"/>
    <w:p>
      <w:pPr>
        <w:overflowPunct w:val="0"/>
        <w:autoSpaceDE w:val="0"/>
        <w:autoSpaceDN w:val="0"/>
        <w:adjustRightInd w:val="0"/>
        <w:spacing w:after="120"/>
        <w:jc w:val="both"/>
        <w:rPr>
          <w:rFonts w:hint="default" w:cs="Times New Roman"/>
          <w:sz w:val="20"/>
          <w:szCs w:val="20"/>
          <w:lang w:val="en-US" w:eastAsia="zh-CN"/>
        </w:rPr>
      </w:pPr>
      <w:r>
        <w:rPr>
          <w:rFonts w:hint="eastAsia" w:cs="Times New Roman"/>
          <w:sz w:val="20"/>
          <w:szCs w:val="20"/>
          <w:lang w:val="en-US" w:eastAsia="zh-CN"/>
        </w:rPr>
        <w:t>For UE camping on TN cell which perform TN to NTN cell re-selection, the requirement includes T_GNSS, i.e., TTFF(Time To First Fix) value, which is left undefined in RRM spec. If UE GNSS has been switched ON, T_GNSS can be assumed zero.</w:t>
      </w:r>
    </w:p>
    <w:p>
      <w:pPr>
        <w:overflowPunct w:val="0"/>
        <w:autoSpaceDE w:val="0"/>
        <w:autoSpaceDN w:val="0"/>
        <w:adjustRightInd w:val="0"/>
        <w:spacing w:after="120"/>
        <w:jc w:val="both"/>
        <w:rPr>
          <w:rFonts w:hint="eastAsia" w:cs="Times New Roman"/>
          <w:sz w:val="20"/>
          <w:szCs w:val="20"/>
          <w:lang w:val="en-US" w:eastAsia="zh-CN"/>
        </w:rPr>
      </w:pPr>
      <w:r>
        <w:rPr>
          <w:rFonts w:hint="eastAsia" w:cs="Times New Roman"/>
          <w:sz w:val="20"/>
          <w:szCs w:val="20"/>
          <w:lang w:val="en-US" w:eastAsia="zh-CN"/>
        </w:rPr>
        <w:t>Company proposed that the requirement for UE GNSS has been switched ON (T_GNSS=0) shall be applied if UE is configured by network to have at least on high priority carrier which contains NTN cells. Generally, we think it is a common UE implementation especially when UE is required to measure per high priority layer within 60s, considering TTFF = 20s as defined in TS 38.171. However, if UE is required to measure per high priority layer with relaxation, i.e., within 1h, such UE implementation assumption seems not valid anymore.</w:t>
      </w:r>
    </w:p>
    <w:p>
      <w:pPr>
        <w:overflowPunct w:val="0"/>
        <w:autoSpaceDE w:val="0"/>
        <w:autoSpaceDN w:val="0"/>
        <w:adjustRightInd w:val="0"/>
        <w:spacing w:after="120"/>
        <w:jc w:val="both"/>
        <w:rPr>
          <w:rFonts w:hint="default"/>
          <w:b/>
          <w:bCs/>
          <w:i/>
          <w:iCs/>
          <w:sz w:val="20"/>
          <w:szCs w:val="20"/>
          <w:lang w:val="en-US" w:eastAsia="zh-CN"/>
        </w:rPr>
      </w:pPr>
      <w:r>
        <w:rPr>
          <w:rFonts w:hint="eastAsia"/>
          <w:b/>
          <w:bCs/>
          <w:i/>
          <w:iCs/>
          <w:sz w:val="20"/>
          <w:szCs w:val="20"/>
          <w:lang w:val="en-US" w:eastAsia="zh-CN"/>
        </w:rPr>
        <w:t>Observation 1</w:t>
      </w:r>
      <w:r>
        <w:rPr>
          <w:b/>
          <w:bCs/>
          <w:i/>
          <w:iCs/>
          <w:sz w:val="20"/>
          <w:szCs w:val="20"/>
        </w:rPr>
        <w:t xml:space="preserve">: </w:t>
      </w:r>
      <w:r>
        <w:rPr>
          <w:rFonts w:hint="eastAsia"/>
          <w:b/>
          <w:bCs/>
          <w:i/>
          <w:iCs/>
          <w:sz w:val="20"/>
          <w:szCs w:val="20"/>
          <w:lang w:val="en-US" w:eastAsia="zh-CN"/>
        </w:rPr>
        <w:t>For the TN to NTN cell re-selection case that UE is configured by network to have at least one high priority layer which contains NTN cells, if UE is required to measure per high priority layer within 60s, GNSS module keeping ON is a common UE implementation, if UE is required to measure per high priority layer with relaxation, i.e., within 1h, GNSS module keeping ON is not a common UE implementation.</w:t>
      </w:r>
    </w:p>
    <w:p>
      <w:pPr>
        <w:overflowPunct w:val="0"/>
        <w:autoSpaceDE w:val="0"/>
        <w:autoSpaceDN w:val="0"/>
        <w:adjustRightInd w:val="0"/>
        <w:spacing w:after="120"/>
        <w:jc w:val="both"/>
        <w:rPr>
          <w:rFonts w:hint="eastAsia" w:cs="Times New Roman"/>
          <w:sz w:val="20"/>
          <w:szCs w:val="20"/>
          <w:lang w:val="en-US" w:eastAsia="zh-CN"/>
        </w:rPr>
      </w:pPr>
      <w:r>
        <w:rPr>
          <w:rFonts w:hint="eastAsia" w:cs="Times New Roman"/>
          <w:sz w:val="20"/>
          <w:szCs w:val="20"/>
          <w:lang w:val="en-US" w:eastAsia="zh-CN"/>
        </w:rPr>
        <w:t>Based on the observation above, we think it is reasonable to apply the TN to NTN cell re-selection requirement for G</w:t>
      </w:r>
      <w:r>
        <w:rPr>
          <w:rFonts w:hint="eastAsia" w:cs="Times New Roman"/>
          <w:i w:val="0"/>
          <w:iCs w:val="0"/>
          <w:sz w:val="20"/>
          <w:szCs w:val="20"/>
          <w:lang w:val="en-US" w:eastAsia="zh-CN"/>
        </w:rPr>
        <w:t xml:space="preserve">NSS ON </w:t>
      </w:r>
      <w:r>
        <w:rPr>
          <w:i w:val="0"/>
          <w:iCs w:val="0"/>
          <w:sz w:val="20"/>
          <w:szCs w:val="20"/>
        </w:rPr>
        <w:t>when Srxlev ≤ S</w:t>
      </w:r>
      <w:r>
        <w:rPr>
          <w:i w:val="0"/>
          <w:iCs w:val="0"/>
          <w:sz w:val="20"/>
          <w:szCs w:val="20"/>
          <w:vertAlign w:val="subscript"/>
        </w:rPr>
        <w:t>nonIntraSearchP</w:t>
      </w:r>
      <w:r>
        <w:rPr>
          <w:i w:val="0"/>
          <w:iCs w:val="0"/>
          <w:sz w:val="20"/>
          <w:szCs w:val="20"/>
        </w:rPr>
        <w:t xml:space="preserve"> or Squal ≤ S</w:t>
      </w:r>
      <w:r>
        <w:rPr>
          <w:i w:val="0"/>
          <w:iCs w:val="0"/>
          <w:sz w:val="20"/>
          <w:szCs w:val="20"/>
          <w:vertAlign w:val="subscript"/>
        </w:rPr>
        <w:t>nonIntraSearchQ</w:t>
      </w:r>
      <w:r>
        <w:rPr>
          <w:i w:val="0"/>
          <w:iCs w:val="0"/>
          <w:sz w:val="20"/>
          <w:szCs w:val="20"/>
        </w:rPr>
        <w:t>,</w:t>
      </w:r>
      <w:r>
        <w:rPr>
          <w:rFonts w:hint="eastAsia"/>
          <w:i w:val="0"/>
          <w:iCs w:val="0"/>
          <w:sz w:val="20"/>
          <w:szCs w:val="20"/>
          <w:lang w:val="en-US" w:eastAsia="zh-CN"/>
        </w:rPr>
        <w:t xml:space="preserve"> </w:t>
      </w:r>
      <w:r>
        <w:rPr>
          <w:rFonts w:hint="eastAsia" w:cs="Times New Roman"/>
          <w:i w:val="0"/>
          <w:iCs w:val="0"/>
          <w:sz w:val="20"/>
          <w:szCs w:val="20"/>
          <w:lang w:val="en-US" w:eastAsia="zh-CN"/>
        </w:rPr>
        <w:t>if U</w:t>
      </w:r>
      <w:r>
        <w:rPr>
          <w:rFonts w:hint="eastAsia" w:cs="Times New Roman"/>
          <w:sz w:val="20"/>
          <w:szCs w:val="20"/>
          <w:lang w:val="en-US" w:eastAsia="zh-CN"/>
        </w:rPr>
        <w:t xml:space="preserve">E is configured by network to have at least one high priority layer which contains NTN cells and UE is required to measure per high priority carrier within 60s. </w:t>
      </w:r>
    </w:p>
    <w:p>
      <w:pPr>
        <w:overflowPunct w:val="0"/>
        <w:autoSpaceDE w:val="0"/>
        <w:autoSpaceDN w:val="0"/>
        <w:adjustRightInd w:val="0"/>
        <w:spacing w:after="120"/>
        <w:jc w:val="both"/>
        <w:rPr>
          <w:rFonts w:hint="eastAsia" w:cs="Times New Roman" w:eastAsiaTheme="minorEastAsia"/>
          <w:sz w:val="20"/>
          <w:szCs w:val="20"/>
          <w:lang w:val="en-US" w:eastAsia="zh-CN"/>
        </w:rPr>
      </w:pPr>
      <w:r>
        <w:rPr>
          <w:rFonts w:hint="eastAsia"/>
          <w:b/>
          <w:bCs/>
          <w:i/>
          <w:iCs/>
          <w:sz w:val="20"/>
          <w:szCs w:val="20"/>
          <w:lang w:val="en-US" w:eastAsia="zh-CN"/>
        </w:rPr>
        <w:t>Proposal 1</w:t>
      </w:r>
      <w:r>
        <w:rPr>
          <w:b/>
          <w:bCs/>
          <w:i/>
          <w:iCs/>
          <w:sz w:val="20"/>
          <w:szCs w:val="20"/>
        </w:rPr>
        <w:t xml:space="preserve">: </w:t>
      </w:r>
      <w:r>
        <w:rPr>
          <w:rFonts w:hint="eastAsia"/>
          <w:b/>
          <w:bCs/>
          <w:i/>
          <w:iCs/>
          <w:sz w:val="20"/>
          <w:szCs w:val="20"/>
        </w:rPr>
        <w:t>For TN to NTN cell re-selection requirement when Srxlev ≤ S</w:t>
      </w:r>
      <w:r>
        <w:rPr>
          <w:rFonts w:hint="eastAsia"/>
          <w:b/>
          <w:bCs/>
          <w:i/>
          <w:iCs/>
          <w:sz w:val="20"/>
          <w:szCs w:val="20"/>
          <w:vertAlign w:val="subscript"/>
        </w:rPr>
        <w:t>nonIntraSearchP</w:t>
      </w:r>
      <w:r>
        <w:rPr>
          <w:rFonts w:hint="eastAsia"/>
          <w:b/>
          <w:bCs/>
          <w:i/>
          <w:iCs/>
          <w:sz w:val="20"/>
          <w:szCs w:val="20"/>
        </w:rPr>
        <w:t xml:space="preserve"> or Squal ≤ S</w:t>
      </w:r>
      <w:r>
        <w:rPr>
          <w:rFonts w:hint="eastAsia"/>
          <w:b/>
          <w:bCs/>
          <w:i/>
          <w:iCs/>
          <w:sz w:val="20"/>
          <w:szCs w:val="20"/>
          <w:vertAlign w:val="subscript"/>
        </w:rPr>
        <w:t>nonIntraSearchQ</w:t>
      </w:r>
      <w:r>
        <w:rPr>
          <w:rFonts w:hint="eastAsia"/>
          <w:b/>
          <w:bCs/>
          <w:i/>
          <w:iCs/>
          <w:sz w:val="20"/>
          <w:szCs w:val="20"/>
        </w:rPr>
        <w:t>, the requirements for GNSS ON shall be applied</w:t>
      </w:r>
      <w:r>
        <w:rPr>
          <w:rFonts w:hint="eastAsia"/>
          <w:b/>
          <w:bCs/>
          <w:i/>
          <w:iCs/>
          <w:sz w:val="20"/>
          <w:szCs w:val="20"/>
          <w:lang w:val="en-US" w:eastAsia="zh-CN"/>
        </w:rPr>
        <w:t xml:space="preserve"> if</w:t>
      </w:r>
      <w:r>
        <w:rPr>
          <w:rFonts w:hint="eastAsia"/>
          <w:b/>
          <w:bCs/>
          <w:i/>
          <w:iCs/>
          <w:sz w:val="20"/>
          <w:szCs w:val="20"/>
        </w:rPr>
        <w:t xml:space="preserve"> UE is configured by network to have at least one high priority </w:t>
      </w:r>
      <w:r>
        <w:rPr>
          <w:rFonts w:hint="eastAsia"/>
          <w:b/>
          <w:bCs/>
          <w:i/>
          <w:iCs/>
          <w:sz w:val="20"/>
          <w:szCs w:val="20"/>
          <w:lang w:val="en-US" w:eastAsia="zh-CN"/>
        </w:rPr>
        <w:t>layer</w:t>
      </w:r>
      <w:r>
        <w:rPr>
          <w:rFonts w:hint="eastAsia"/>
          <w:b/>
          <w:bCs/>
          <w:i/>
          <w:iCs/>
          <w:sz w:val="20"/>
          <w:szCs w:val="20"/>
        </w:rPr>
        <w:t xml:space="preserve"> which contains NTN cells</w:t>
      </w:r>
      <w:r>
        <w:rPr>
          <w:rFonts w:hint="eastAsia"/>
          <w:b/>
          <w:bCs/>
          <w:i/>
          <w:iCs/>
          <w:sz w:val="20"/>
          <w:szCs w:val="20"/>
          <w:lang w:val="en-US" w:eastAsia="zh-CN"/>
        </w:rPr>
        <w:t xml:space="preserve"> </w:t>
      </w:r>
      <w:r>
        <w:rPr>
          <w:rFonts w:hint="eastAsia"/>
          <w:b/>
          <w:bCs/>
          <w:i/>
          <w:iCs/>
          <w:sz w:val="20"/>
          <w:szCs w:val="20"/>
        </w:rPr>
        <w:t>and UE is required to measure per high priority carrier within 60s</w:t>
      </w:r>
      <w:r>
        <w:rPr>
          <w:rFonts w:hint="eastAsia"/>
          <w:b/>
          <w:bCs/>
          <w:i/>
          <w:iCs/>
          <w:sz w:val="20"/>
          <w:szCs w:val="20"/>
          <w:lang w:val="en-US" w:eastAsia="zh-CN"/>
        </w:rPr>
        <w:t>.</w:t>
      </w:r>
    </w:p>
    <w:p>
      <w:pPr>
        <w:rPr>
          <w:rFonts w:eastAsia="宋体"/>
          <w:b/>
          <w:i/>
          <w:iCs/>
          <w:sz w:val="20"/>
          <w:szCs w:val="20"/>
          <w:u w:val="single"/>
          <w:lang w:val="en-GB" w:eastAsia="ko-KR"/>
        </w:rPr>
      </w:pPr>
    </w:p>
    <w:p>
      <w:pPr>
        <w:rPr>
          <w:rFonts w:eastAsia="宋体"/>
          <w:b/>
          <w:i/>
          <w:iCs/>
          <w:sz w:val="20"/>
          <w:szCs w:val="20"/>
          <w:u w:val="single"/>
          <w:lang w:val="en-GB" w:eastAsia="ko-KR"/>
        </w:rPr>
      </w:pPr>
      <w:bookmarkStart w:id="9" w:name="_Hlk166676935"/>
      <w:r>
        <w:rPr>
          <w:rFonts w:eastAsia="宋体"/>
          <w:b/>
          <w:i/>
          <w:iCs/>
          <w:sz w:val="20"/>
          <w:szCs w:val="20"/>
          <w:u w:val="single"/>
          <w:lang w:val="en-GB" w:eastAsia="ko-KR"/>
        </w:rPr>
        <w:t>Issue 4-2: NTN to TN cell reselection</w:t>
      </w:r>
    </w:p>
    <w:p>
      <w:pPr>
        <w:overflowPunct w:val="0"/>
        <w:autoSpaceDE w:val="0"/>
        <w:autoSpaceDN w:val="0"/>
        <w:adjustRightInd w:val="0"/>
        <w:spacing w:after="120"/>
        <w:jc w:val="both"/>
        <w:rPr>
          <w:rFonts w:hint="default" w:cs="Times New Roman"/>
          <w:sz w:val="20"/>
          <w:szCs w:val="20"/>
          <w:lang w:val="en-US" w:eastAsia="zh-CN"/>
        </w:rPr>
      </w:pPr>
      <w:r>
        <w:rPr>
          <w:rFonts w:hint="eastAsia" w:cs="Times New Roman"/>
          <w:sz w:val="20"/>
          <w:szCs w:val="20"/>
          <w:lang w:val="en-US" w:eastAsia="zh-CN"/>
        </w:rPr>
        <w:t>Currently, the NTN to TN cell re-selection delay requirement had been defined in the spec. However, the maximum interruption requirement in paging reception when target cell with TN carrier is still missing, which should be also defined. This interruption including the delay for system information and the delay for fine time and frequency synchronization, due to the target cell is TN cell, we think the legacy requirements can be reused.</w:t>
      </w:r>
    </w:p>
    <w:p>
      <w:pPr>
        <w:overflowPunct w:val="0"/>
        <w:autoSpaceDE w:val="0"/>
        <w:autoSpaceDN w:val="0"/>
        <w:adjustRightInd w:val="0"/>
        <w:spacing w:after="120"/>
        <w:jc w:val="both"/>
        <w:rPr>
          <w:rFonts w:hint="default" w:eastAsiaTheme="minorEastAsia"/>
          <w:sz w:val="20"/>
          <w:szCs w:val="20"/>
          <w:lang w:val="en-US" w:eastAsia="zh-CN"/>
        </w:rPr>
      </w:pPr>
      <w:r>
        <w:rPr>
          <w:sz w:val="20"/>
          <w:szCs w:val="20"/>
          <w:lang w:eastAsia="ko-KR"/>
        </w:rPr>
        <w:t>At inter-frequency cell re-selection,</w:t>
      </w:r>
      <w:r>
        <w:rPr>
          <w:rFonts w:hint="eastAsia"/>
          <w:sz w:val="20"/>
          <w:szCs w:val="20"/>
          <w:lang w:val="en-US" w:eastAsia="zh-CN"/>
        </w:rPr>
        <w:t xml:space="preserve"> for target cell with TN carrier, t</w:t>
      </w:r>
      <w:r>
        <w:rPr>
          <w:sz w:val="20"/>
          <w:szCs w:val="20"/>
          <w:lang w:eastAsia="ko-KR"/>
        </w:rPr>
        <w:t>he interruption time shall not exceed T</w:t>
      </w:r>
      <w:r>
        <w:rPr>
          <w:sz w:val="20"/>
          <w:szCs w:val="20"/>
          <w:vertAlign w:val="subscript"/>
          <w:lang w:eastAsia="ko-KR"/>
        </w:rPr>
        <w:t xml:space="preserve">SI-NR </w:t>
      </w:r>
      <w:r>
        <w:rPr>
          <w:sz w:val="20"/>
          <w:szCs w:val="20"/>
          <w:lang w:eastAsia="ko-KR"/>
        </w:rPr>
        <w:t>+ K*</w:t>
      </w:r>
      <w:r>
        <w:rPr>
          <w:sz w:val="20"/>
          <w:szCs w:val="20"/>
        </w:rPr>
        <w:t>T</w:t>
      </w:r>
      <w:r>
        <w:rPr>
          <w:sz w:val="20"/>
          <w:szCs w:val="20"/>
          <w:vertAlign w:val="subscript"/>
        </w:rPr>
        <w:t xml:space="preserve">target_cell_SMTC_period </w:t>
      </w:r>
      <w:r>
        <w:rPr>
          <w:sz w:val="20"/>
          <w:szCs w:val="20"/>
          <w:lang w:eastAsia="ko-KR"/>
        </w:rPr>
        <w:t>ms</w:t>
      </w:r>
      <w:r>
        <w:rPr>
          <w:rFonts w:hint="eastAsia"/>
          <w:sz w:val="20"/>
          <w:szCs w:val="20"/>
          <w:lang w:val="en-US" w:eastAsia="zh-CN"/>
        </w:rPr>
        <w:t xml:space="preserve">, and </w:t>
      </w:r>
      <w:r>
        <w:rPr>
          <w:sz w:val="20"/>
          <w:szCs w:val="20"/>
          <w:lang w:eastAsia="ko-KR"/>
        </w:rPr>
        <w:t>K = 2.</w:t>
      </w:r>
    </w:p>
    <w:p>
      <w:pPr>
        <w:overflowPunct w:val="0"/>
        <w:autoSpaceDE w:val="0"/>
        <w:autoSpaceDN w:val="0"/>
        <w:adjustRightInd w:val="0"/>
        <w:spacing w:after="120"/>
        <w:jc w:val="both"/>
        <w:rPr>
          <w:sz w:val="20"/>
          <w:szCs w:val="20"/>
          <w:lang w:eastAsia="ko-KR"/>
        </w:rPr>
      </w:pPr>
      <w:r>
        <w:rPr>
          <w:sz w:val="20"/>
          <w:szCs w:val="20"/>
          <w:lang w:eastAsia="ko-KR"/>
        </w:rPr>
        <w:t xml:space="preserve">At inter-RAT cell re-selection, </w:t>
      </w:r>
      <w:r>
        <w:rPr>
          <w:rFonts w:hint="eastAsia"/>
          <w:sz w:val="20"/>
          <w:szCs w:val="20"/>
          <w:lang w:val="en-US" w:eastAsia="zh-CN"/>
        </w:rPr>
        <w:t>for</w:t>
      </w:r>
      <w:r>
        <w:rPr>
          <w:sz w:val="20"/>
          <w:szCs w:val="20"/>
          <w:lang w:eastAsia="ko-KR"/>
        </w:rPr>
        <w:t xml:space="preserve"> target cell</w:t>
      </w:r>
      <w:r>
        <w:rPr>
          <w:rFonts w:hint="eastAsia"/>
          <w:sz w:val="20"/>
          <w:szCs w:val="20"/>
          <w:lang w:val="en-US" w:eastAsia="zh-CN"/>
        </w:rPr>
        <w:t xml:space="preserve"> with TN carrier , </w:t>
      </w:r>
      <w:r>
        <w:rPr>
          <w:sz w:val="20"/>
          <w:szCs w:val="20"/>
          <w:lang w:eastAsia="ko-KR"/>
        </w:rPr>
        <w:t>the interruption time must not exceed T</w:t>
      </w:r>
      <w:r>
        <w:rPr>
          <w:sz w:val="20"/>
          <w:szCs w:val="20"/>
          <w:vertAlign w:val="subscript"/>
          <w:lang w:eastAsia="ko-KR"/>
        </w:rPr>
        <w:t xml:space="preserve">SI-EUTRA </w:t>
      </w:r>
      <w:r>
        <w:rPr>
          <w:sz w:val="20"/>
          <w:szCs w:val="20"/>
          <w:lang w:eastAsia="ko-KR"/>
        </w:rPr>
        <w:t>+ 55 ms.</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2</w:t>
      </w:r>
      <w:r>
        <w:rPr>
          <w:b/>
          <w:bCs/>
          <w:i/>
          <w:iCs/>
          <w:sz w:val="20"/>
          <w:szCs w:val="20"/>
        </w:rPr>
        <w:t xml:space="preserve">: </w:t>
      </w:r>
      <w:r>
        <w:rPr>
          <w:rFonts w:hint="eastAsia"/>
          <w:b/>
          <w:bCs/>
          <w:i/>
          <w:iCs/>
          <w:sz w:val="20"/>
          <w:szCs w:val="20"/>
          <w:lang w:val="en-US" w:eastAsia="zh-CN"/>
        </w:rPr>
        <w:t>Define maximum interruption requirement in paging reception when target cell with TN carrier:</w:t>
      </w:r>
    </w:p>
    <w:p>
      <w:pPr>
        <w:numPr>
          <w:ilvl w:val="0"/>
          <w:numId w:val="5"/>
        </w:numPr>
        <w:overflowPunct w:val="0"/>
        <w:autoSpaceDE w:val="0"/>
        <w:autoSpaceDN w:val="0"/>
        <w:adjustRightInd w:val="0"/>
        <w:spacing w:after="120"/>
        <w:ind w:left="420" w:leftChars="0" w:hanging="420" w:firstLineChars="0"/>
        <w:jc w:val="both"/>
        <w:rPr>
          <w:rFonts w:hint="default"/>
          <w:b/>
          <w:bCs/>
          <w:i/>
          <w:iCs/>
          <w:sz w:val="20"/>
          <w:szCs w:val="20"/>
          <w:lang w:val="en-US" w:eastAsia="zh-CN"/>
        </w:rPr>
      </w:pPr>
      <w:r>
        <w:rPr>
          <w:rFonts w:hint="eastAsia"/>
          <w:b/>
          <w:bCs/>
          <w:i/>
          <w:iCs/>
          <w:sz w:val="20"/>
          <w:szCs w:val="20"/>
          <w:lang w:val="en-US" w:eastAsia="ko-KR"/>
        </w:rPr>
        <w:t>At inter-frequency cell re-selection,</w:t>
      </w:r>
      <w:r>
        <w:rPr>
          <w:rFonts w:hint="eastAsia"/>
          <w:b/>
          <w:bCs/>
          <w:i/>
          <w:iCs/>
          <w:sz w:val="20"/>
          <w:szCs w:val="20"/>
          <w:lang w:val="en-US" w:eastAsia="zh-CN"/>
        </w:rPr>
        <w:t xml:space="preserve"> for target cell with TN carrier, t</w:t>
      </w:r>
      <w:r>
        <w:rPr>
          <w:rFonts w:hint="eastAsia"/>
          <w:b/>
          <w:bCs/>
          <w:i/>
          <w:iCs/>
          <w:sz w:val="20"/>
          <w:szCs w:val="20"/>
          <w:lang w:val="en-US" w:eastAsia="ko-KR"/>
        </w:rPr>
        <w:t>he interruption time shall not exceed T</w:t>
      </w:r>
      <w:r>
        <w:rPr>
          <w:rFonts w:hint="eastAsia"/>
          <w:b/>
          <w:bCs/>
          <w:i/>
          <w:iCs/>
          <w:sz w:val="20"/>
          <w:szCs w:val="20"/>
          <w:vertAlign w:val="subscript"/>
          <w:lang w:val="en-US" w:eastAsia="ko-KR"/>
        </w:rPr>
        <w:t>SI-NR</w:t>
      </w:r>
      <w:r>
        <w:rPr>
          <w:rFonts w:hint="eastAsia"/>
          <w:b/>
          <w:bCs/>
          <w:i/>
          <w:iCs/>
          <w:sz w:val="20"/>
          <w:szCs w:val="20"/>
          <w:lang w:val="en-US" w:eastAsia="ko-KR"/>
        </w:rPr>
        <w:t xml:space="preserve"> + K*</w:t>
      </w:r>
      <w:r>
        <w:rPr>
          <w:rFonts w:hint="eastAsia"/>
          <w:b/>
          <w:bCs/>
          <w:i/>
          <w:iCs/>
          <w:sz w:val="20"/>
          <w:szCs w:val="20"/>
          <w:lang w:val="en-US" w:eastAsia="zh-CN"/>
        </w:rPr>
        <w:t>T</w:t>
      </w:r>
      <w:r>
        <w:rPr>
          <w:rFonts w:hint="eastAsia"/>
          <w:b/>
          <w:bCs/>
          <w:i/>
          <w:iCs/>
          <w:sz w:val="20"/>
          <w:szCs w:val="20"/>
          <w:vertAlign w:val="subscript"/>
          <w:lang w:val="en-US" w:eastAsia="zh-CN"/>
        </w:rPr>
        <w:t>target_cell_SMTC_period</w:t>
      </w:r>
      <w:r>
        <w:rPr>
          <w:rFonts w:hint="eastAsia"/>
          <w:b/>
          <w:bCs/>
          <w:i/>
          <w:iCs/>
          <w:sz w:val="20"/>
          <w:szCs w:val="20"/>
          <w:lang w:val="en-US" w:eastAsia="zh-CN"/>
        </w:rPr>
        <w:t xml:space="preserve"> </w:t>
      </w:r>
      <w:r>
        <w:rPr>
          <w:rFonts w:hint="eastAsia"/>
          <w:b/>
          <w:bCs/>
          <w:i/>
          <w:iCs/>
          <w:sz w:val="20"/>
          <w:szCs w:val="20"/>
          <w:lang w:val="en-US" w:eastAsia="ko-KR"/>
        </w:rPr>
        <w:t>ms</w:t>
      </w:r>
      <w:r>
        <w:rPr>
          <w:rFonts w:hint="eastAsia"/>
          <w:b/>
          <w:bCs/>
          <w:i/>
          <w:iCs/>
          <w:sz w:val="20"/>
          <w:szCs w:val="20"/>
          <w:lang w:val="en-US" w:eastAsia="zh-CN"/>
        </w:rPr>
        <w:t xml:space="preserve">, and </w:t>
      </w:r>
      <w:r>
        <w:rPr>
          <w:rFonts w:hint="eastAsia"/>
          <w:b/>
          <w:bCs/>
          <w:i/>
          <w:iCs/>
          <w:sz w:val="20"/>
          <w:szCs w:val="20"/>
          <w:lang w:val="en-US" w:eastAsia="ko-KR"/>
        </w:rPr>
        <w:t>K = 2.</w:t>
      </w:r>
    </w:p>
    <w:p>
      <w:pPr>
        <w:numPr>
          <w:ilvl w:val="0"/>
          <w:numId w:val="5"/>
        </w:numPr>
        <w:overflowPunct w:val="0"/>
        <w:autoSpaceDE w:val="0"/>
        <w:autoSpaceDN w:val="0"/>
        <w:adjustRightInd w:val="0"/>
        <w:spacing w:after="120"/>
        <w:ind w:left="420" w:leftChars="0" w:hanging="420" w:firstLineChars="0"/>
        <w:jc w:val="both"/>
        <w:rPr>
          <w:rFonts w:hint="eastAsia"/>
          <w:b/>
          <w:bCs/>
          <w:i/>
          <w:iCs/>
          <w:sz w:val="20"/>
          <w:szCs w:val="20"/>
          <w:lang w:val="en-US" w:eastAsia="ko-KR"/>
        </w:rPr>
      </w:pPr>
      <w:r>
        <w:rPr>
          <w:rFonts w:hint="eastAsia"/>
          <w:b/>
          <w:bCs/>
          <w:i/>
          <w:iCs/>
          <w:sz w:val="20"/>
          <w:szCs w:val="20"/>
          <w:lang w:val="en-US" w:eastAsia="ko-KR"/>
        </w:rPr>
        <w:t xml:space="preserve">At inter-RAT cell re-selection, </w:t>
      </w:r>
      <w:r>
        <w:rPr>
          <w:rFonts w:hint="eastAsia"/>
          <w:b/>
          <w:bCs/>
          <w:i/>
          <w:iCs/>
          <w:sz w:val="20"/>
          <w:szCs w:val="20"/>
          <w:lang w:val="en-US" w:eastAsia="zh-CN"/>
        </w:rPr>
        <w:t>for</w:t>
      </w:r>
      <w:r>
        <w:rPr>
          <w:rFonts w:hint="eastAsia"/>
          <w:b/>
          <w:bCs/>
          <w:i/>
          <w:iCs/>
          <w:sz w:val="20"/>
          <w:szCs w:val="20"/>
          <w:lang w:val="en-US" w:eastAsia="ko-KR"/>
        </w:rPr>
        <w:t xml:space="preserve"> target cell</w:t>
      </w:r>
      <w:r>
        <w:rPr>
          <w:rFonts w:hint="eastAsia"/>
          <w:b/>
          <w:bCs/>
          <w:i/>
          <w:iCs/>
          <w:sz w:val="20"/>
          <w:szCs w:val="20"/>
          <w:lang w:val="en-US" w:eastAsia="zh-CN"/>
        </w:rPr>
        <w:t xml:space="preserve"> with TN carrier , </w:t>
      </w:r>
      <w:r>
        <w:rPr>
          <w:rFonts w:hint="eastAsia"/>
          <w:b/>
          <w:bCs/>
          <w:i/>
          <w:iCs/>
          <w:sz w:val="20"/>
          <w:szCs w:val="20"/>
          <w:lang w:val="en-US" w:eastAsia="ko-KR"/>
        </w:rPr>
        <w:t>the interruption time must not exceed T</w:t>
      </w:r>
      <w:r>
        <w:rPr>
          <w:rFonts w:hint="eastAsia"/>
          <w:b/>
          <w:bCs/>
          <w:i/>
          <w:iCs/>
          <w:sz w:val="20"/>
          <w:szCs w:val="20"/>
          <w:vertAlign w:val="subscript"/>
          <w:lang w:val="en-US" w:eastAsia="ko-KR"/>
        </w:rPr>
        <w:t xml:space="preserve">SI-EUTRA </w:t>
      </w:r>
      <w:r>
        <w:rPr>
          <w:rFonts w:hint="eastAsia"/>
          <w:b/>
          <w:bCs/>
          <w:i/>
          <w:iCs/>
          <w:sz w:val="20"/>
          <w:szCs w:val="20"/>
          <w:lang w:val="en-US" w:eastAsia="ko-KR"/>
        </w:rPr>
        <w:t>+ 55 ms.</w:t>
      </w:r>
    </w:p>
    <w:p>
      <w:pPr>
        <w:rPr>
          <w:rFonts w:eastAsia="宋体"/>
          <w:b/>
          <w:i/>
          <w:iCs/>
          <w:sz w:val="20"/>
          <w:szCs w:val="20"/>
          <w:u w:val="single"/>
          <w:lang w:val="en-GB" w:eastAsia="ko-KR"/>
        </w:rPr>
      </w:pPr>
    </w:p>
    <w:p>
      <w:pPr>
        <w:outlineLvl w:val="2"/>
        <w:rPr>
          <w:b/>
          <w:u w:val="single"/>
          <w:lang w:eastAsia="ko-KR"/>
        </w:rPr>
      </w:pPr>
      <w:r>
        <w:rPr>
          <w:rFonts w:eastAsia="宋体"/>
          <w:b/>
          <w:i/>
          <w:iCs/>
          <w:sz w:val="20"/>
          <w:szCs w:val="20"/>
          <w:u w:val="single"/>
          <w:lang w:val="en-GB" w:eastAsia="ko-KR"/>
        </w:rPr>
        <w:t>Issue 5-2-S: Soft’ Satellite switch</w:t>
      </w:r>
    </w:p>
    <w:p>
      <w:pPr>
        <w:overflowPunct w:val="0"/>
        <w:autoSpaceDE w:val="0"/>
        <w:autoSpaceDN w:val="0"/>
        <w:adjustRightInd w:val="0"/>
        <w:snapToGrid w:val="0"/>
        <w:spacing w:after="120" w:line="240" w:lineRule="auto"/>
        <w:textAlignment w:val="baseline"/>
        <w:rPr>
          <w:rFonts w:eastAsia="等线"/>
          <w:i/>
          <w:iCs w:val="0"/>
          <w:kern w:val="2"/>
          <w:sz w:val="20"/>
          <w:szCs w:val="20"/>
          <w:highlight w:val="none"/>
          <w:lang w:val="en-US" w:eastAsia="zh-CN"/>
        </w:rPr>
      </w:pPr>
      <w:r>
        <w:rPr>
          <w:rFonts w:eastAsia="等线"/>
          <w:i/>
          <w:iCs w:val="0"/>
          <w:kern w:val="2"/>
          <w:sz w:val="20"/>
          <w:szCs w:val="20"/>
          <w:highlight w:val="none"/>
          <w:lang w:val="en-US" w:eastAsia="zh-CN"/>
        </w:rPr>
        <w:t>FFS:</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after="60"/>
        <w:ind w:left="720" w:hanging="360"/>
        <w:textAlignment w:val="baseline"/>
        <w:rPr>
          <w:rFonts w:eastAsia="宋体"/>
          <w:i/>
          <w:iCs/>
          <w:sz w:val="20"/>
          <w:szCs w:val="24"/>
          <w:highlight w:val="none"/>
          <w:lang w:val="en-GB" w:eastAsia="ja-JP"/>
        </w:rPr>
      </w:pPr>
      <w:r>
        <w:rPr>
          <w:rFonts w:eastAsia="宋体"/>
          <w:i/>
          <w:iCs/>
          <w:sz w:val="20"/>
          <w:szCs w:val="24"/>
          <w:highlight w:val="none"/>
          <w:lang w:val="en-GB" w:eastAsia="ja-JP"/>
        </w:rPr>
        <w:t>RAN4 to not consider PDD reporting between serving and target satellites involved in the satellite switching without PCI change.</w:t>
      </w:r>
    </w:p>
    <w:p>
      <w:pPr>
        <w:overflowPunct w:val="0"/>
        <w:autoSpaceDE w:val="0"/>
        <w:autoSpaceDN w:val="0"/>
        <w:adjustRightInd w:val="0"/>
        <w:snapToGrid w:val="0"/>
        <w:spacing w:after="120" w:line="240" w:lineRule="auto"/>
        <w:textAlignment w:val="baseline"/>
        <w:rPr>
          <w:rFonts w:eastAsia="等线"/>
          <w:i/>
          <w:iCs w:val="0"/>
          <w:kern w:val="2"/>
          <w:sz w:val="20"/>
          <w:szCs w:val="20"/>
          <w:highlight w:val="none"/>
          <w:lang w:val="en-US" w:eastAsia="zh-CN"/>
        </w:rPr>
      </w:pPr>
      <w:r>
        <w:rPr>
          <w:rFonts w:eastAsia="等线"/>
          <w:i/>
          <w:iCs w:val="0"/>
          <w:kern w:val="2"/>
          <w:sz w:val="20"/>
          <w:szCs w:val="20"/>
          <w:highlight w:val="none"/>
          <w:lang w:val="en-US" w:eastAsia="zh-CN"/>
        </w:rPr>
        <w:t>FFS:</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after="60"/>
        <w:ind w:left="720" w:hanging="360"/>
        <w:textAlignment w:val="baseline"/>
        <w:rPr>
          <w:rFonts w:eastAsia="宋体"/>
          <w:i/>
          <w:iCs/>
          <w:sz w:val="20"/>
          <w:szCs w:val="24"/>
          <w:lang w:val="en-GB" w:eastAsia="ja-JP"/>
        </w:rPr>
      </w:pPr>
      <w:r>
        <w:rPr>
          <w:rFonts w:eastAsia="宋体"/>
          <w:i/>
          <w:iCs/>
          <w:sz w:val="20"/>
          <w:szCs w:val="24"/>
          <w:highlight w:val="none"/>
          <w:lang w:val="en-GB" w:eastAsia="ja-JP"/>
        </w:rPr>
        <w:t>To enhance scheduling</w:t>
      </w:r>
      <w:r>
        <w:rPr>
          <w:rFonts w:eastAsia="宋体"/>
          <w:i/>
          <w:iCs/>
          <w:sz w:val="20"/>
          <w:szCs w:val="24"/>
          <w:lang w:val="en-GB" w:eastAsia="ja-JP"/>
        </w:rPr>
        <w:t xml:space="preserve"> restriction in soft satellite switching, consider modifying the capability rule such that: if UE indicates to support soft satellite switching without PCI change, it also means UE supports both simultaneousRxDataSSB-DiffNumerology and parallelMeasurementWithoutRestriction-r17.</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sz w:val="20"/>
          <w:szCs w:val="20"/>
          <w:lang w:val="en-US" w:eastAsia="zh-CN"/>
        </w:rPr>
      </w:pPr>
      <w:r>
        <w:rPr>
          <w:rFonts w:hint="eastAsia"/>
          <w:sz w:val="20"/>
          <w:szCs w:val="20"/>
          <w:lang w:val="en-US" w:eastAsia="zh-CN"/>
        </w:rPr>
        <w:t>We prefer not to consider PDD reporting and introduce UE capability bundling with following reasons:</w:t>
      </w:r>
    </w:p>
    <w:p>
      <w:pPr>
        <w:keepNext w:val="0"/>
        <w:keepLines w:val="0"/>
        <w:pageBreakBefore w:val="0"/>
        <w:widowControl/>
        <w:numPr>
          <w:ilvl w:val="0"/>
          <w:numId w:val="6"/>
        </w:numPr>
        <w:tabs>
          <w:tab w:val="left" w:pos="1134"/>
        </w:tabs>
        <w:kinsoku/>
        <w:wordWrap/>
        <w:overflowPunct/>
        <w:topLinePunct w:val="0"/>
        <w:autoSpaceDE/>
        <w:autoSpaceDN/>
        <w:bidi w:val="0"/>
        <w:adjustRightInd/>
        <w:snapToGrid/>
        <w:spacing w:before="157" w:beforeLines="50" w:after="157" w:afterLines="50" w:line="240" w:lineRule="auto"/>
        <w:jc w:val="both"/>
        <w:textAlignment w:val="auto"/>
        <w:rPr>
          <w:rFonts w:hint="eastAsia" w:cs="Times New Roman"/>
          <w:sz w:val="20"/>
          <w:szCs w:val="20"/>
          <w:lang w:val="en-US" w:eastAsia="zh-CN"/>
        </w:rPr>
      </w:pPr>
      <w:r>
        <w:rPr>
          <w:rFonts w:hint="eastAsia"/>
          <w:sz w:val="20"/>
          <w:szCs w:val="20"/>
          <w:lang w:val="en-US" w:eastAsia="zh-CN"/>
        </w:rPr>
        <w:t>The network is still workable without any PDD assistance information from UE and UE capability bundling. The duration of the scheduling restriction from network side depends on the maximum propagation delay difference between source cell and target cell, which further depends on the practical network scenario. The worst case is that the source cell could not schedule any data transmission during the whole period between T-seviceStart and T-service.</w:t>
      </w:r>
    </w:p>
    <w:p>
      <w:pPr>
        <w:keepNext w:val="0"/>
        <w:keepLines w:val="0"/>
        <w:pageBreakBefore w:val="0"/>
        <w:widowControl/>
        <w:numPr>
          <w:ilvl w:val="0"/>
          <w:numId w:val="6"/>
        </w:numPr>
        <w:tabs>
          <w:tab w:val="left" w:pos="1134"/>
        </w:tabs>
        <w:kinsoku/>
        <w:wordWrap/>
        <w:overflowPunct/>
        <w:topLinePunct w:val="0"/>
        <w:autoSpaceDE/>
        <w:autoSpaceDN/>
        <w:bidi w:val="0"/>
        <w:adjustRightInd/>
        <w:snapToGrid/>
        <w:spacing w:before="157" w:beforeLines="50" w:after="157" w:afterLines="50" w:line="240" w:lineRule="auto"/>
        <w:jc w:val="both"/>
        <w:textAlignment w:val="auto"/>
        <w:rPr>
          <w:rFonts w:hint="eastAsia" w:cs="Times New Roman"/>
          <w:sz w:val="20"/>
          <w:szCs w:val="20"/>
          <w:lang w:val="en-US" w:eastAsia="zh-CN"/>
        </w:rPr>
      </w:pPr>
      <w:r>
        <w:rPr>
          <w:rFonts w:hint="eastAsia"/>
          <w:sz w:val="20"/>
          <w:szCs w:val="20"/>
          <w:lang w:val="en-US" w:eastAsia="zh-CN"/>
        </w:rPr>
        <w:t>The feature will be less attractive if UE capability bundling is considered</w:t>
      </w:r>
    </w:p>
    <w:p>
      <w:pPr>
        <w:keepNext w:val="0"/>
        <w:keepLines w:val="0"/>
        <w:pageBreakBefore w:val="0"/>
        <w:widowControl/>
        <w:numPr>
          <w:ilvl w:val="0"/>
          <w:numId w:val="6"/>
        </w:numPr>
        <w:tabs>
          <w:tab w:val="left" w:pos="1134"/>
        </w:tabs>
        <w:kinsoku/>
        <w:wordWrap/>
        <w:overflowPunct/>
        <w:topLinePunct w:val="0"/>
        <w:autoSpaceDE/>
        <w:autoSpaceDN/>
        <w:bidi w:val="0"/>
        <w:adjustRightInd/>
        <w:snapToGrid/>
        <w:spacing w:before="157" w:beforeLines="50" w:after="157" w:afterLines="5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RAN2 has agreed not to consider PDD reporting between serving and target satellites involved in the satellite switching without PCI change.</w:t>
      </w:r>
    </w:p>
    <w:p>
      <w:pPr>
        <w:overflowPunct w:val="0"/>
        <w:autoSpaceDE w:val="0"/>
        <w:autoSpaceDN w:val="0"/>
        <w:adjustRightInd w:val="0"/>
        <w:spacing w:after="120"/>
        <w:jc w:val="both"/>
        <w:rPr>
          <w:rFonts w:hint="default"/>
          <w:b/>
          <w:bCs/>
          <w:i/>
          <w:iCs/>
          <w:sz w:val="20"/>
          <w:szCs w:val="20"/>
          <w:lang w:val="en-US" w:eastAsia="zh-CN"/>
        </w:rPr>
      </w:pPr>
      <w:r>
        <w:rPr>
          <w:rFonts w:hint="eastAsia"/>
          <w:b/>
          <w:bCs/>
          <w:i/>
          <w:iCs/>
          <w:sz w:val="20"/>
          <w:szCs w:val="20"/>
          <w:lang w:val="en-US" w:eastAsia="zh-CN"/>
        </w:rPr>
        <w:t>Proposal 3</w:t>
      </w:r>
      <w:r>
        <w:rPr>
          <w:b/>
          <w:bCs/>
          <w:i/>
          <w:iCs/>
          <w:sz w:val="20"/>
          <w:szCs w:val="20"/>
        </w:rPr>
        <w:t>:</w:t>
      </w:r>
      <w:r>
        <w:rPr>
          <w:rFonts w:hint="eastAsia"/>
          <w:b/>
          <w:bCs/>
          <w:i/>
          <w:iCs/>
          <w:sz w:val="20"/>
          <w:szCs w:val="20"/>
          <w:lang w:val="en-US" w:eastAsia="zh-CN"/>
        </w:rPr>
        <w:t xml:space="preserve"> Don</w:t>
      </w:r>
      <w:r>
        <w:rPr>
          <w:rFonts w:hint="default"/>
          <w:b/>
          <w:bCs/>
          <w:i/>
          <w:iCs/>
          <w:sz w:val="20"/>
          <w:szCs w:val="20"/>
          <w:lang w:val="en-US" w:eastAsia="zh-CN"/>
        </w:rPr>
        <w:t>’</w:t>
      </w:r>
      <w:r>
        <w:rPr>
          <w:rFonts w:hint="eastAsia"/>
          <w:b/>
          <w:bCs/>
          <w:i/>
          <w:iCs/>
          <w:sz w:val="20"/>
          <w:szCs w:val="20"/>
          <w:lang w:val="en-US" w:eastAsia="zh-CN"/>
        </w:rPr>
        <w:t>t consider PDD reporting and UE capability bundling for satellite switching with re-synchronization.</w:t>
      </w:r>
    </w:p>
    <w:p>
      <w:pPr>
        <w:rPr>
          <w:rFonts w:eastAsia="宋体"/>
          <w:b/>
          <w:i/>
          <w:iCs/>
          <w:sz w:val="20"/>
          <w:szCs w:val="20"/>
          <w:u w:val="single"/>
          <w:lang w:val="en-GB" w:eastAsia="ko-KR"/>
        </w:rPr>
      </w:pPr>
    </w:p>
    <w:bookmarkEnd w:id="5"/>
    <w:bookmarkEnd w:id="9"/>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spacing w:before="60"/>
        <w:jc w:val="both"/>
        <w:rPr>
          <w:sz w:val="20"/>
          <w:szCs w:val="20"/>
        </w:rPr>
      </w:pPr>
      <w:r>
        <w:rPr>
          <w:sz w:val="20"/>
          <w:szCs w:val="20"/>
        </w:rPr>
        <w:t xml:space="preserve">Based on the discussion above, the following </w:t>
      </w:r>
      <w:r>
        <w:rPr>
          <w:rFonts w:hint="eastAsia"/>
          <w:sz w:val="20"/>
          <w:szCs w:val="20"/>
          <w:lang w:val="en-US" w:eastAsia="zh-CN"/>
        </w:rPr>
        <w:t xml:space="preserve">observations and </w:t>
      </w:r>
      <w:r>
        <w:rPr>
          <w:sz w:val="20"/>
          <w:szCs w:val="20"/>
        </w:rPr>
        <w:t xml:space="preserve">proposals are concluded. </w:t>
      </w:r>
      <w:bookmarkEnd w:id="6"/>
      <w:bookmarkEnd w:id="7"/>
    </w:p>
    <w:p>
      <w:pPr>
        <w:overflowPunct w:val="0"/>
        <w:autoSpaceDE w:val="0"/>
        <w:autoSpaceDN w:val="0"/>
        <w:adjustRightInd w:val="0"/>
        <w:spacing w:after="120"/>
        <w:jc w:val="both"/>
        <w:rPr>
          <w:rFonts w:hint="default"/>
          <w:b/>
          <w:bCs/>
          <w:i/>
          <w:iCs/>
          <w:sz w:val="20"/>
          <w:szCs w:val="20"/>
          <w:lang w:val="en-US" w:eastAsia="zh-CN"/>
        </w:rPr>
      </w:pPr>
      <w:r>
        <w:rPr>
          <w:rFonts w:hint="eastAsia"/>
          <w:b/>
          <w:bCs/>
          <w:i/>
          <w:iCs/>
          <w:sz w:val="20"/>
          <w:szCs w:val="20"/>
          <w:lang w:val="en-US" w:eastAsia="zh-CN"/>
        </w:rPr>
        <w:t>Observation 1</w:t>
      </w:r>
      <w:r>
        <w:rPr>
          <w:b/>
          <w:bCs/>
          <w:i/>
          <w:iCs/>
          <w:sz w:val="20"/>
          <w:szCs w:val="20"/>
        </w:rPr>
        <w:t xml:space="preserve">: </w:t>
      </w:r>
      <w:r>
        <w:rPr>
          <w:rFonts w:hint="eastAsia"/>
          <w:b/>
          <w:bCs/>
          <w:i/>
          <w:iCs/>
          <w:sz w:val="20"/>
          <w:szCs w:val="20"/>
          <w:lang w:val="en-US" w:eastAsia="zh-CN"/>
        </w:rPr>
        <w:t>For the TN to NTN cell re-selection case that UE is configured by network to have at least one high priority layer which contains NTN cells, if UE is required to measure per high priority layer within 60s, GNSS module keeping ON is a common UE implementation, if UE is required to measure per high priority layer with relaxation, i.e., within 1h, GNSS module keeping ON is not a common UE implementation.</w:t>
      </w:r>
    </w:p>
    <w:p>
      <w:pPr>
        <w:overflowPunct w:val="0"/>
        <w:autoSpaceDE w:val="0"/>
        <w:autoSpaceDN w:val="0"/>
        <w:adjustRightInd w:val="0"/>
        <w:spacing w:after="120"/>
        <w:jc w:val="both"/>
        <w:rPr>
          <w:rFonts w:hint="eastAsia" w:cs="Times New Roman" w:eastAsiaTheme="minorEastAsia"/>
          <w:sz w:val="20"/>
          <w:szCs w:val="20"/>
          <w:lang w:val="en-US" w:eastAsia="zh-CN"/>
        </w:rPr>
      </w:pPr>
      <w:r>
        <w:rPr>
          <w:rFonts w:hint="eastAsia"/>
          <w:b/>
          <w:bCs/>
          <w:i/>
          <w:iCs/>
          <w:sz w:val="20"/>
          <w:szCs w:val="20"/>
          <w:lang w:val="en-US" w:eastAsia="zh-CN"/>
        </w:rPr>
        <w:t>Proposal 1</w:t>
      </w:r>
      <w:r>
        <w:rPr>
          <w:b/>
          <w:bCs/>
          <w:i/>
          <w:iCs/>
          <w:sz w:val="20"/>
          <w:szCs w:val="20"/>
        </w:rPr>
        <w:t xml:space="preserve">: </w:t>
      </w:r>
      <w:r>
        <w:rPr>
          <w:rFonts w:hint="eastAsia"/>
          <w:b/>
          <w:bCs/>
          <w:i/>
          <w:iCs/>
          <w:sz w:val="20"/>
          <w:szCs w:val="20"/>
        </w:rPr>
        <w:t>For TN to NTN cell re-selection requirement when Srxlev ≤ S</w:t>
      </w:r>
      <w:r>
        <w:rPr>
          <w:rFonts w:hint="eastAsia"/>
          <w:b/>
          <w:bCs/>
          <w:i/>
          <w:iCs/>
          <w:sz w:val="20"/>
          <w:szCs w:val="20"/>
          <w:vertAlign w:val="subscript"/>
        </w:rPr>
        <w:t>nonIntraSearchP</w:t>
      </w:r>
      <w:r>
        <w:rPr>
          <w:rFonts w:hint="eastAsia"/>
          <w:b/>
          <w:bCs/>
          <w:i/>
          <w:iCs/>
          <w:sz w:val="20"/>
          <w:szCs w:val="20"/>
        </w:rPr>
        <w:t xml:space="preserve"> or Squal ≤ S</w:t>
      </w:r>
      <w:r>
        <w:rPr>
          <w:rFonts w:hint="eastAsia"/>
          <w:b/>
          <w:bCs/>
          <w:i/>
          <w:iCs/>
          <w:sz w:val="20"/>
          <w:szCs w:val="20"/>
          <w:vertAlign w:val="subscript"/>
        </w:rPr>
        <w:t>nonIntraSearchQ</w:t>
      </w:r>
      <w:r>
        <w:rPr>
          <w:rFonts w:hint="eastAsia"/>
          <w:b/>
          <w:bCs/>
          <w:i/>
          <w:iCs/>
          <w:sz w:val="20"/>
          <w:szCs w:val="20"/>
        </w:rPr>
        <w:t>, the requirements for GNSS ON shall be applied</w:t>
      </w:r>
      <w:r>
        <w:rPr>
          <w:rFonts w:hint="eastAsia"/>
          <w:b/>
          <w:bCs/>
          <w:i/>
          <w:iCs/>
          <w:sz w:val="20"/>
          <w:szCs w:val="20"/>
          <w:lang w:val="en-US" w:eastAsia="zh-CN"/>
        </w:rPr>
        <w:t xml:space="preserve"> if</w:t>
      </w:r>
      <w:r>
        <w:rPr>
          <w:rFonts w:hint="eastAsia"/>
          <w:b/>
          <w:bCs/>
          <w:i/>
          <w:iCs/>
          <w:sz w:val="20"/>
          <w:szCs w:val="20"/>
        </w:rPr>
        <w:t xml:space="preserve"> UE is configured by network to have at least one high priority </w:t>
      </w:r>
      <w:r>
        <w:rPr>
          <w:rFonts w:hint="eastAsia"/>
          <w:b/>
          <w:bCs/>
          <w:i/>
          <w:iCs/>
          <w:sz w:val="20"/>
          <w:szCs w:val="20"/>
          <w:lang w:val="en-US" w:eastAsia="zh-CN"/>
        </w:rPr>
        <w:t>layer</w:t>
      </w:r>
      <w:r>
        <w:rPr>
          <w:rFonts w:hint="eastAsia"/>
          <w:b/>
          <w:bCs/>
          <w:i/>
          <w:iCs/>
          <w:sz w:val="20"/>
          <w:szCs w:val="20"/>
        </w:rPr>
        <w:t xml:space="preserve"> which contains NTN cells</w:t>
      </w:r>
      <w:r>
        <w:rPr>
          <w:rFonts w:hint="eastAsia"/>
          <w:b/>
          <w:bCs/>
          <w:i/>
          <w:iCs/>
          <w:sz w:val="20"/>
          <w:szCs w:val="20"/>
          <w:lang w:val="en-US" w:eastAsia="zh-CN"/>
        </w:rPr>
        <w:t xml:space="preserve"> </w:t>
      </w:r>
      <w:r>
        <w:rPr>
          <w:rFonts w:hint="eastAsia"/>
          <w:b/>
          <w:bCs/>
          <w:i/>
          <w:iCs/>
          <w:sz w:val="20"/>
          <w:szCs w:val="20"/>
        </w:rPr>
        <w:t>and UE is required to measure per high priority carrier within 60s</w:t>
      </w:r>
      <w:r>
        <w:rPr>
          <w:rFonts w:hint="eastAsia"/>
          <w:b/>
          <w:bCs/>
          <w:i/>
          <w:iCs/>
          <w:sz w:val="20"/>
          <w:szCs w:val="20"/>
          <w:lang w:val="en-US" w:eastAsia="zh-CN"/>
        </w:rPr>
        <w:t>.</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2</w:t>
      </w:r>
      <w:r>
        <w:rPr>
          <w:b/>
          <w:bCs/>
          <w:i/>
          <w:iCs/>
          <w:sz w:val="20"/>
          <w:szCs w:val="20"/>
        </w:rPr>
        <w:t xml:space="preserve">: </w:t>
      </w:r>
      <w:r>
        <w:rPr>
          <w:rFonts w:hint="eastAsia"/>
          <w:b/>
          <w:bCs/>
          <w:i/>
          <w:iCs/>
          <w:sz w:val="20"/>
          <w:szCs w:val="20"/>
          <w:lang w:val="en-US" w:eastAsia="zh-CN"/>
        </w:rPr>
        <w:t>Define maximum interruption requirement in paging reception when target cell with TN carrier:</w:t>
      </w:r>
    </w:p>
    <w:p>
      <w:pPr>
        <w:numPr>
          <w:ilvl w:val="0"/>
          <w:numId w:val="5"/>
        </w:numPr>
        <w:overflowPunct w:val="0"/>
        <w:autoSpaceDE w:val="0"/>
        <w:autoSpaceDN w:val="0"/>
        <w:adjustRightInd w:val="0"/>
        <w:spacing w:after="120"/>
        <w:ind w:left="420" w:leftChars="0" w:hanging="420" w:firstLineChars="0"/>
        <w:jc w:val="both"/>
        <w:rPr>
          <w:rFonts w:hint="default"/>
          <w:b/>
          <w:bCs/>
          <w:i/>
          <w:iCs/>
          <w:sz w:val="20"/>
          <w:szCs w:val="20"/>
          <w:lang w:val="en-US" w:eastAsia="zh-CN"/>
        </w:rPr>
      </w:pPr>
      <w:r>
        <w:rPr>
          <w:rFonts w:hint="eastAsia"/>
          <w:b/>
          <w:bCs/>
          <w:i/>
          <w:iCs/>
          <w:sz w:val="20"/>
          <w:szCs w:val="20"/>
          <w:lang w:val="en-US" w:eastAsia="ko-KR"/>
        </w:rPr>
        <w:t>At inter-frequency cell re-selection,</w:t>
      </w:r>
      <w:r>
        <w:rPr>
          <w:rFonts w:hint="eastAsia"/>
          <w:b/>
          <w:bCs/>
          <w:i/>
          <w:iCs/>
          <w:sz w:val="20"/>
          <w:szCs w:val="20"/>
          <w:lang w:val="en-US" w:eastAsia="zh-CN"/>
        </w:rPr>
        <w:t xml:space="preserve"> for target cell with TN carrier, t</w:t>
      </w:r>
      <w:r>
        <w:rPr>
          <w:rFonts w:hint="eastAsia"/>
          <w:b/>
          <w:bCs/>
          <w:i/>
          <w:iCs/>
          <w:sz w:val="20"/>
          <w:szCs w:val="20"/>
          <w:lang w:val="en-US" w:eastAsia="ko-KR"/>
        </w:rPr>
        <w:t>he interruption time shall not exceed T</w:t>
      </w:r>
      <w:r>
        <w:rPr>
          <w:rFonts w:hint="eastAsia"/>
          <w:b/>
          <w:bCs/>
          <w:i/>
          <w:iCs/>
          <w:sz w:val="20"/>
          <w:szCs w:val="20"/>
          <w:vertAlign w:val="subscript"/>
          <w:lang w:val="en-US" w:eastAsia="ko-KR"/>
        </w:rPr>
        <w:t>SI-NR</w:t>
      </w:r>
      <w:r>
        <w:rPr>
          <w:rFonts w:hint="eastAsia"/>
          <w:b/>
          <w:bCs/>
          <w:i/>
          <w:iCs/>
          <w:sz w:val="20"/>
          <w:szCs w:val="20"/>
          <w:lang w:val="en-US" w:eastAsia="ko-KR"/>
        </w:rPr>
        <w:t xml:space="preserve"> + K*</w:t>
      </w:r>
      <w:r>
        <w:rPr>
          <w:rFonts w:hint="eastAsia"/>
          <w:b/>
          <w:bCs/>
          <w:i/>
          <w:iCs/>
          <w:sz w:val="20"/>
          <w:szCs w:val="20"/>
          <w:lang w:val="en-US" w:eastAsia="zh-CN"/>
        </w:rPr>
        <w:t>T</w:t>
      </w:r>
      <w:r>
        <w:rPr>
          <w:rFonts w:hint="eastAsia"/>
          <w:b/>
          <w:bCs/>
          <w:i/>
          <w:iCs/>
          <w:sz w:val="20"/>
          <w:szCs w:val="20"/>
          <w:vertAlign w:val="subscript"/>
          <w:lang w:val="en-US" w:eastAsia="zh-CN"/>
        </w:rPr>
        <w:t>target_cell_SMTC_period</w:t>
      </w:r>
      <w:r>
        <w:rPr>
          <w:rFonts w:hint="eastAsia"/>
          <w:b/>
          <w:bCs/>
          <w:i/>
          <w:iCs/>
          <w:sz w:val="20"/>
          <w:szCs w:val="20"/>
          <w:lang w:val="en-US" w:eastAsia="zh-CN"/>
        </w:rPr>
        <w:t xml:space="preserve"> </w:t>
      </w:r>
      <w:r>
        <w:rPr>
          <w:rFonts w:hint="eastAsia"/>
          <w:b/>
          <w:bCs/>
          <w:i/>
          <w:iCs/>
          <w:sz w:val="20"/>
          <w:szCs w:val="20"/>
          <w:lang w:val="en-US" w:eastAsia="ko-KR"/>
        </w:rPr>
        <w:t>ms</w:t>
      </w:r>
      <w:r>
        <w:rPr>
          <w:rFonts w:hint="eastAsia"/>
          <w:b/>
          <w:bCs/>
          <w:i/>
          <w:iCs/>
          <w:sz w:val="20"/>
          <w:szCs w:val="20"/>
          <w:lang w:val="en-US" w:eastAsia="zh-CN"/>
        </w:rPr>
        <w:t xml:space="preserve">, and </w:t>
      </w:r>
      <w:r>
        <w:rPr>
          <w:rFonts w:hint="eastAsia"/>
          <w:b/>
          <w:bCs/>
          <w:i/>
          <w:iCs/>
          <w:sz w:val="20"/>
          <w:szCs w:val="20"/>
          <w:lang w:val="en-US" w:eastAsia="ko-KR"/>
        </w:rPr>
        <w:t>K = 2.</w:t>
      </w:r>
    </w:p>
    <w:p>
      <w:pPr>
        <w:numPr>
          <w:ilvl w:val="0"/>
          <w:numId w:val="5"/>
        </w:numPr>
        <w:overflowPunct w:val="0"/>
        <w:autoSpaceDE w:val="0"/>
        <w:autoSpaceDN w:val="0"/>
        <w:adjustRightInd w:val="0"/>
        <w:spacing w:after="120"/>
        <w:ind w:left="420" w:leftChars="0" w:hanging="420" w:firstLineChars="0"/>
        <w:jc w:val="both"/>
        <w:rPr>
          <w:rFonts w:hint="eastAsia"/>
          <w:b/>
          <w:bCs/>
          <w:i/>
          <w:iCs/>
          <w:sz w:val="20"/>
          <w:szCs w:val="20"/>
          <w:lang w:val="en-US" w:eastAsia="ko-KR"/>
        </w:rPr>
      </w:pPr>
      <w:r>
        <w:rPr>
          <w:rFonts w:hint="eastAsia"/>
          <w:b/>
          <w:bCs/>
          <w:i/>
          <w:iCs/>
          <w:sz w:val="20"/>
          <w:szCs w:val="20"/>
          <w:lang w:val="en-US" w:eastAsia="ko-KR"/>
        </w:rPr>
        <w:t xml:space="preserve">At inter-RAT cell re-selection, </w:t>
      </w:r>
      <w:r>
        <w:rPr>
          <w:rFonts w:hint="eastAsia"/>
          <w:b/>
          <w:bCs/>
          <w:i/>
          <w:iCs/>
          <w:sz w:val="20"/>
          <w:szCs w:val="20"/>
          <w:lang w:val="en-US" w:eastAsia="zh-CN"/>
        </w:rPr>
        <w:t>for</w:t>
      </w:r>
      <w:r>
        <w:rPr>
          <w:rFonts w:hint="eastAsia"/>
          <w:b/>
          <w:bCs/>
          <w:i/>
          <w:iCs/>
          <w:sz w:val="20"/>
          <w:szCs w:val="20"/>
          <w:lang w:val="en-US" w:eastAsia="ko-KR"/>
        </w:rPr>
        <w:t xml:space="preserve"> target cell</w:t>
      </w:r>
      <w:r>
        <w:rPr>
          <w:rFonts w:hint="eastAsia"/>
          <w:b/>
          <w:bCs/>
          <w:i/>
          <w:iCs/>
          <w:sz w:val="20"/>
          <w:szCs w:val="20"/>
          <w:lang w:val="en-US" w:eastAsia="zh-CN"/>
        </w:rPr>
        <w:t xml:space="preserve"> with TN carrier , </w:t>
      </w:r>
      <w:r>
        <w:rPr>
          <w:rFonts w:hint="eastAsia"/>
          <w:b/>
          <w:bCs/>
          <w:i/>
          <w:iCs/>
          <w:sz w:val="20"/>
          <w:szCs w:val="20"/>
          <w:lang w:val="en-US" w:eastAsia="ko-KR"/>
        </w:rPr>
        <w:t>the interruption time must not exceed T</w:t>
      </w:r>
      <w:r>
        <w:rPr>
          <w:rFonts w:hint="eastAsia"/>
          <w:b/>
          <w:bCs/>
          <w:i/>
          <w:iCs/>
          <w:sz w:val="20"/>
          <w:szCs w:val="20"/>
          <w:vertAlign w:val="subscript"/>
          <w:lang w:val="en-US" w:eastAsia="ko-KR"/>
        </w:rPr>
        <w:t xml:space="preserve">SI-EUTRA </w:t>
      </w:r>
      <w:r>
        <w:rPr>
          <w:rFonts w:hint="eastAsia"/>
          <w:b/>
          <w:bCs/>
          <w:i/>
          <w:iCs/>
          <w:sz w:val="20"/>
          <w:szCs w:val="20"/>
          <w:lang w:val="en-US" w:eastAsia="ko-KR"/>
        </w:rPr>
        <w:t>+ 55 ms.</w:t>
      </w:r>
    </w:p>
    <w:p>
      <w:pPr>
        <w:overflowPunct w:val="0"/>
        <w:autoSpaceDE w:val="0"/>
        <w:autoSpaceDN w:val="0"/>
        <w:adjustRightInd w:val="0"/>
        <w:spacing w:after="120"/>
        <w:jc w:val="both"/>
        <w:rPr>
          <w:rFonts w:hint="default"/>
          <w:b/>
          <w:bCs/>
          <w:i/>
          <w:iCs/>
          <w:sz w:val="20"/>
          <w:szCs w:val="20"/>
          <w:lang w:val="en-US" w:eastAsia="zh-CN"/>
        </w:rPr>
      </w:pPr>
      <w:r>
        <w:rPr>
          <w:rFonts w:hint="eastAsia"/>
          <w:b/>
          <w:bCs/>
          <w:i/>
          <w:iCs/>
          <w:sz w:val="20"/>
          <w:szCs w:val="20"/>
          <w:lang w:val="en-US" w:eastAsia="zh-CN"/>
        </w:rPr>
        <w:t>Proposal 3</w:t>
      </w:r>
      <w:r>
        <w:rPr>
          <w:b/>
          <w:bCs/>
          <w:i/>
          <w:iCs/>
          <w:sz w:val="20"/>
          <w:szCs w:val="20"/>
        </w:rPr>
        <w:t>:</w:t>
      </w:r>
      <w:r>
        <w:rPr>
          <w:rFonts w:hint="eastAsia"/>
          <w:b/>
          <w:bCs/>
          <w:i/>
          <w:iCs/>
          <w:sz w:val="20"/>
          <w:szCs w:val="20"/>
          <w:lang w:val="en-US" w:eastAsia="zh-CN"/>
        </w:rPr>
        <w:t xml:space="preserve"> Don</w:t>
      </w:r>
      <w:r>
        <w:rPr>
          <w:rFonts w:hint="default"/>
          <w:b/>
          <w:bCs/>
          <w:i/>
          <w:iCs/>
          <w:sz w:val="20"/>
          <w:szCs w:val="20"/>
          <w:lang w:val="en-US" w:eastAsia="zh-CN"/>
        </w:rPr>
        <w:t>’</w:t>
      </w:r>
      <w:r>
        <w:rPr>
          <w:rFonts w:hint="eastAsia"/>
          <w:b/>
          <w:bCs/>
          <w:i/>
          <w:iCs/>
          <w:sz w:val="20"/>
          <w:szCs w:val="20"/>
          <w:lang w:val="en-US" w:eastAsia="zh-CN"/>
        </w:rPr>
        <w:t>t consider PDD reporting and UE capability bundling for satellite switching with re-synchronization.</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numPr>
          <w:ilvl w:val="0"/>
          <w:numId w:val="7"/>
        </w:numPr>
        <w:rPr>
          <w:rFonts w:hint="eastAsia"/>
          <w:sz w:val="20"/>
          <w:szCs w:val="20"/>
          <w:lang w:val="en-GB" w:eastAsia="zh-CN"/>
        </w:rPr>
      </w:pPr>
      <w:r>
        <w:rPr>
          <w:rFonts w:hint="eastAsia"/>
          <w:sz w:val="20"/>
          <w:szCs w:val="20"/>
          <w:lang w:val="en-US" w:eastAsia="zh-CN"/>
        </w:rPr>
        <w:t>R4-2414100, WF on RRM requirements for NR_NTN_enh, Moderator (Qualcomm Incorporated)</w:t>
      </w:r>
      <w:r>
        <w:rPr>
          <w:rFonts w:hint="eastAsia"/>
          <w:sz w:val="20"/>
          <w:szCs w:val="20"/>
          <w:lang w:val="en-GB" w:eastAsia="zh-CN"/>
        </w:rPr>
        <w:t>.</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D36A81"/>
    <w:multiLevelType w:val="singleLevel"/>
    <w:tmpl w:val="91D36A81"/>
    <w:lvl w:ilvl="0" w:tentative="0">
      <w:start w:val="1"/>
      <w:numFmt w:val="bullet"/>
      <w:lvlText w:val=""/>
      <w:lvlJc w:val="left"/>
      <w:pPr>
        <w:ind w:left="420" w:hanging="420"/>
      </w:pPr>
      <w:rPr>
        <w:rFonts w:hint="default" w:ascii="Wingdings" w:hAnsi="Wingdings"/>
      </w:rPr>
    </w:lvl>
  </w:abstractNum>
  <w:abstractNum w:abstractNumId="1">
    <w:nsid w:val="A0B39303"/>
    <w:multiLevelType w:val="singleLevel"/>
    <w:tmpl w:val="A0B39303"/>
    <w:lvl w:ilvl="0" w:tentative="0">
      <w:start w:val="1"/>
      <w:numFmt w:val="decimal"/>
      <w:suff w:val="space"/>
      <w:lvlText w:val="[%1]"/>
      <w:lvlJc w:val="left"/>
    </w:lvl>
  </w:abstractNum>
  <w:abstractNum w:abstractNumId="2">
    <w:nsid w:val="EA29379F"/>
    <w:multiLevelType w:val="singleLevel"/>
    <w:tmpl w:val="EA29379F"/>
    <w:lvl w:ilvl="0" w:tentative="0">
      <w:start w:val="1"/>
      <w:numFmt w:val="decimal"/>
      <w:suff w:val="space"/>
      <w:lvlText w:val="%1."/>
      <w:lvlJc w:val="left"/>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5B411110"/>
    <w:multiLevelType w:val="multilevel"/>
    <w:tmpl w:val="5B41111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6CDA2FB2"/>
    <w:multiLevelType w:val="multilevel"/>
    <w:tmpl w:val="6CDA2FB2"/>
    <w:lvl w:ilvl="0" w:tentative="0">
      <w:start w:val="1"/>
      <w:numFmt w:val="decimal"/>
      <w:pStyle w:val="54"/>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6">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6"/>
  </w:num>
  <w:num w:numId="2">
    <w:abstractNumId w:val="5"/>
  </w:num>
  <w:num w:numId="3">
    <w:abstractNumId w:val="3"/>
  </w:num>
  <w:num w:numId="4">
    <w:abstractNumId w:val="4"/>
  </w:num>
  <w:num w:numId="5">
    <w:abstractNumId w:val="0"/>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577E"/>
    <w:rsid w:val="0001686D"/>
    <w:rsid w:val="00017051"/>
    <w:rsid w:val="00017D45"/>
    <w:rsid w:val="00020096"/>
    <w:rsid w:val="00020F88"/>
    <w:rsid w:val="00021E70"/>
    <w:rsid w:val="00021FAA"/>
    <w:rsid w:val="00022AA2"/>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628"/>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2D6"/>
    <w:rsid w:val="00086392"/>
    <w:rsid w:val="00086643"/>
    <w:rsid w:val="00086AB0"/>
    <w:rsid w:val="00087358"/>
    <w:rsid w:val="00087508"/>
    <w:rsid w:val="00087D3E"/>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3A0B"/>
    <w:rsid w:val="000B4172"/>
    <w:rsid w:val="000B49FC"/>
    <w:rsid w:val="000B5617"/>
    <w:rsid w:val="000B567F"/>
    <w:rsid w:val="000B576E"/>
    <w:rsid w:val="000B5CB2"/>
    <w:rsid w:val="000B64E3"/>
    <w:rsid w:val="000B6781"/>
    <w:rsid w:val="000B6BA3"/>
    <w:rsid w:val="000B6E65"/>
    <w:rsid w:val="000B6E9A"/>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3F8D"/>
    <w:rsid w:val="000C408D"/>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DC"/>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32C"/>
    <w:rsid w:val="000F0ED1"/>
    <w:rsid w:val="000F0F23"/>
    <w:rsid w:val="000F1050"/>
    <w:rsid w:val="000F18A5"/>
    <w:rsid w:val="000F1C4B"/>
    <w:rsid w:val="000F1C61"/>
    <w:rsid w:val="000F23ED"/>
    <w:rsid w:val="000F25D5"/>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27BE7"/>
    <w:rsid w:val="00130076"/>
    <w:rsid w:val="00130DF2"/>
    <w:rsid w:val="00131401"/>
    <w:rsid w:val="00131831"/>
    <w:rsid w:val="0013235D"/>
    <w:rsid w:val="00132468"/>
    <w:rsid w:val="00132691"/>
    <w:rsid w:val="00132965"/>
    <w:rsid w:val="00132A59"/>
    <w:rsid w:val="00132C14"/>
    <w:rsid w:val="001331CE"/>
    <w:rsid w:val="001333FF"/>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6E"/>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4CC"/>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39"/>
    <w:rsid w:val="001662A4"/>
    <w:rsid w:val="00166384"/>
    <w:rsid w:val="001665B8"/>
    <w:rsid w:val="0016670D"/>
    <w:rsid w:val="00167C21"/>
    <w:rsid w:val="00167CAE"/>
    <w:rsid w:val="0017014A"/>
    <w:rsid w:val="0017043F"/>
    <w:rsid w:val="00170B13"/>
    <w:rsid w:val="001715DF"/>
    <w:rsid w:val="00171A3A"/>
    <w:rsid w:val="00171CC3"/>
    <w:rsid w:val="00172D09"/>
    <w:rsid w:val="00173314"/>
    <w:rsid w:val="00173A70"/>
    <w:rsid w:val="00173C68"/>
    <w:rsid w:val="00174E9E"/>
    <w:rsid w:val="00174F4E"/>
    <w:rsid w:val="00174FDF"/>
    <w:rsid w:val="00175A55"/>
    <w:rsid w:val="0017617E"/>
    <w:rsid w:val="001763E3"/>
    <w:rsid w:val="001765AA"/>
    <w:rsid w:val="001766AC"/>
    <w:rsid w:val="00176EC3"/>
    <w:rsid w:val="0017733F"/>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5FC8"/>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AEE"/>
    <w:rsid w:val="001D6C84"/>
    <w:rsid w:val="001D6CE6"/>
    <w:rsid w:val="001D6ED9"/>
    <w:rsid w:val="001D6F0C"/>
    <w:rsid w:val="001D7220"/>
    <w:rsid w:val="001D7818"/>
    <w:rsid w:val="001D7AA2"/>
    <w:rsid w:val="001E040D"/>
    <w:rsid w:val="001E0778"/>
    <w:rsid w:val="001E13D2"/>
    <w:rsid w:val="001E1893"/>
    <w:rsid w:val="001E1A49"/>
    <w:rsid w:val="001E1C68"/>
    <w:rsid w:val="001E1DE4"/>
    <w:rsid w:val="001E27B6"/>
    <w:rsid w:val="001E3124"/>
    <w:rsid w:val="001E3FEC"/>
    <w:rsid w:val="001E410B"/>
    <w:rsid w:val="001E437D"/>
    <w:rsid w:val="001E4400"/>
    <w:rsid w:val="001E4CDA"/>
    <w:rsid w:val="001E536F"/>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6E0"/>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82A"/>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E5E"/>
    <w:rsid w:val="00223F32"/>
    <w:rsid w:val="00223FB6"/>
    <w:rsid w:val="00224140"/>
    <w:rsid w:val="00224236"/>
    <w:rsid w:val="00224CC7"/>
    <w:rsid w:val="00225126"/>
    <w:rsid w:val="002260D8"/>
    <w:rsid w:val="0022630F"/>
    <w:rsid w:val="00226BEE"/>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AE3"/>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915"/>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D72"/>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B7D64"/>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3E7"/>
    <w:rsid w:val="002E3888"/>
    <w:rsid w:val="002E3F7A"/>
    <w:rsid w:val="002E435F"/>
    <w:rsid w:val="002E588C"/>
    <w:rsid w:val="002E5FD4"/>
    <w:rsid w:val="002E6476"/>
    <w:rsid w:val="002E66A3"/>
    <w:rsid w:val="002E6E6D"/>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20B"/>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0C16"/>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ED"/>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B5B"/>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7C3"/>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33C"/>
    <w:rsid w:val="00413A50"/>
    <w:rsid w:val="00413EA9"/>
    <w:rsid w:val="004143EE"/>
    <w:rsid w:val="0041442E"/>
    <w:rsid w:val="00414CB7"/>
    <w:rsid w:val="00414E7D"/>
    <w:rsid w:val="00414EDC"/>
    <w:rsid w:val="0041504D"/>
    <w:rsid w:val="00415050"/>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2B41"/>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4C69"/>
    <w:rsid w:val="00454E38"/>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214"/>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57"/>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312"/>
    <w:rsid w:val="004F46ED"/>
    <w:rsid w:val="004F4A2D"/>
    <w:rsid w:val="004F4E8A"/>
    <w:rsid w:val="004F50AA"/>
    <w:rsid w:val="004F51A2"/>
    <w:rsid w:val="004F523D"/>
    <w:rsid w:val="004F52E3"/>
    <w:rsid w:val="004F6739"/>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20C"/>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1DD"/>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B4A"/>
    <w:rsid w:val="00544D08"/>
    <w:rsid w:val="00544E3A"/>
    <w:rsid w:val="00545374"/>
    <w:rsid w:val="005453A4"/>
    <w:rsid w:val="0054549B"/>
    <w:rsid w:val="00546F0E"/>
    <w:rsid w:val="00546F3B"/>
    <w:rsid w:val="00547041"/>
    <w:rsid w:val="00547AC0"/>
    <w:rsid w:val="00550A37"/>
    <w:rsid w:val="00550B39"/>
    <w:rsid w:val="005510C8"/>
    <w:rsid w:val="0055122D"/>
    <w:rsid w:val="0055153D"/>
    <w:rsid w:val="00551728"/>
    <w:rsid w:val="00551A15"/>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4DC"/>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0B4B"/>
    <w:rsid w:val="005B2203"/>
    <w:rsid w:val="005B2F47"/>
    <w:rsid w:val="005B3624"/>
    <w:rsid w:val="005B497B"/>
    <w:rsid w:val="005B49B4"/>
    <w:rsid w:val="005B52A3"/>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347"/>
    <w:rsid w:val="005C4601"/>
    <w:rsid w:val="005C4AFF"/>
    <w:rsid w:val="005C4B67"/>
    <w:rsid w:val="005C4E6B"/>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508"/>
    <w:rsid w:val="005D6B28"/>
    <w:rsid w:val="005D6C9A"/>
    <w:rsid w:val="005D6CF6"/>
    <w:rsid w:val="005D6D0B"/>
    <w:rsid w:val="005D7250"/>
    <w:rsid w:val="005D7B02"/>
    <w:rsid w:val="005D7C2E"/>
    <w:rsid w:val="005D7CFC"/>
    <w:rsid w:val="005D7F96"/>
    <w:rsid w:val="005E000B"/>
    <w:rsid w:val="005E010C"/>
    <w:rsid w:val="005E020F"/>
    <w:rsid w:val="005E068A"/>
    <w:rsid w:val="005E07D1"/>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090"/>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56"/>
    <w:rsid w:val="005F47C1"/>
    <w:rsid w:val="005F4A12"/>
    <w:rsid w:val="005F53A2"/>
    <w:rsid w:val="005F5791"/>
    <w:rsid w:val="005F58D1"/>
    <w:rsid w:val="005F5B6E"/>
    <w:rsid w:val="005F6E23"/>
    <w:rsid w:val="005F6F07"/>
    <w:rsid w:val="005F7816"/>
    <w:rsid w:val="005F7AD8"/>
    <w:rsid w:val="006017EB"/>
    <w:rsid w:val="006024E0"/>
    <w:rsid w:val="00602807"/>
    <w:rsid w:val="00603AF4"/>
    <w:rsid w:val="00603DA4"/>
    <w:rsid w:val="00603DD7"/>
    <w:rsid w:val="00603FCA"/>
    <w:rsid w:val="006044F2"/>
    <w:rsid w:val="006045DE"/>
    <w:rsid w:val="00604A8C"/>
    <w:rsid w:val="00604F42"/>
    <w:rsid w:val="0060511F"/>
    <w:rsid w:val="00605537"/>
    <w:rsid w:val="00605858"/>
    <w:rsid w:val="00606004"/>
    <w:rsid w:val="0060618C"/>
    <w:rsid w:val="00606201"/>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A4F"/>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80D"/>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2C19"/>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0F8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5C6"/>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374C"/>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7DC"/>
    <w:rsid w:val="00694DEB"/>
    <w:rsid w:val="006950DB"/>
    <w:rsid w:val="006951D1"/>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3C9F"/>
    <w:rsid w:val="006A4962"/>
    <w:rsid w:val="006A4B90"/>
    <w:rsid w:val="006A4FBF"/>
    <w:rsid w:val="006A51A0"/>
    <w:rsid w:val="006A60E5"/>
    <w:rsid w:val="006A6961"/>
    <w:rsid w:val="006A6DBB"/>
    <w:rsid w:val="006A7118"/>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7DE"/>
    <w:rsid w:val="006B4DB8"/>
    <w:rsid w:val="006B5235"/>
    <w:rsid w:val="006B67F6"/>
    <w:rsid w:val="006B690A"/>
    <w:rsid w:val="006B6E38"/>
    <w:rsid w:val="006B775A"/>
    <w:rsid w:val="006B7AB8"/>
    <w:rsid w:val="006C0252"/>
    <w:rsid w:val="006C0671"/>
    <w:rsid w:val="006C0B50"/>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C53"/>
    <w:rsid w:val="006C4D5C"/>
    <w:rsid w:val="006C54CC"/>
    <w:rsid w:val="006C5622"/>
    <w:rsid w:val="006C56DC"/>
    <w:rsid w:val="006C56FE"/>
    <w:rsid w:val="006C57FD"/>
    <w:rsid w:val="006C59B9"/>
    <w:rsid w:val="006C5AF2"/>
    <w:rsid w:val="006C5C67"/>
    <w:rsid w:val="006C5DA0"/>
    <w:rsid w:val="006C70A3"/>
    <w:rsid w:val="006C7F3C"/>
    <w:rsid w:val="006D0748"/>
    <w:rsid w:val="006D11C7"/>
    <w:rsid w:val="006D12A2"/>
    <w:rsid w:val="006D1C1E"/>
    <w:rsid w:val="006D20AA"/>
    <w:rsid w:val="006D20DE"/>
    <w:rsid w:val="006D21AF"/>
    <w:rsid w:val="006D233D"/>
    <w:rsid w:val="006D25BA"/>
    <w:rsid w:val="006D290E"/>
    <w:rsid w:val="006D2A35"/>
    <w:rsid w:val="006D3CD5"/>
    <w:rsid w:val="006D3F69"/>
    <w:rsid w:val="006D4283"/>
    <w:rsid w:val="006D443C"/>
    <w:rsid w:val="006D4648"/>
    <w:rsid w:val="006D476D"/>
    <w:rsid w:val="006D481E"/>
    <w:rsid w:val="006D493C"/>
    <w:rsid w:val="006D508C"/>
    <w:rsid w:val="006D5E12"/>
    <w:rsid w:val="006D615E"/>
    <w:rsid w:val="006D6856"/>
    <w:rsid w:val="006D78D5"/>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2CA4"/>
    <w:rsid w:val="006F316D"/>
    <w:rsid w:val="006F36BD"/>
    <w:rsid w:val="006F397A"/>
    <w:rsid w:val="006F3B27"/>
    <w:rsid w:val="006F4C47"/>
    <w:rsid w:val="006F4E10"/>
    <w:rsid w:val="006F4E94"/>
    <w:rsid w:val="006F5741"/>
    <w:rsid w:val="006F6496"/>
    <w:rsid w:val="006F6C02"/>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2DF"/>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2AD"/>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9E2"/>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0CA"/>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047"/>
    <w:rsid w:val="007B42C9"/>
    <w:rsid w:val="007B56C9"/>
    <w:rsid w:val="007B6273"/>
    <w:rsid w:val="007B653E"/>
    <w:rsid w:val="007B68A2"/>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5FD8"/>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99E"/>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127"/>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598"/>
    <w:rsid w:val="00841995"/>
    <w:rsid w:val="00841F4E"/>
    <w:rsid w:val="008421A5"/>
    <w:rsid w:val="00842901"/>
    <w:rsid w:val="00842A53"/>
    <w:rsid w:val="0084300C"/>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0AC"/>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262"/>
    <w:rsid w:val="00884654"/>
    <w:rsid w:val="008848DF"/>
    <w:rsid w:val="00884995"/>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50D"/>
    <w:rsid w:val="008929B6"/>
    <w:rsid w:val="00894478"/>
    <w:rsid w:val="00894990"/>
    <w:rsid w:val="00894C09"/>
    <w:rsid w:val="00894D72"/>
    <w:rsid w:val="008957F8"/>
    <w:rsid w:val="00895883"/>
    <w:rsid w:val="008959F4"/>
    <w:rsid w:val="00895A0E"/>
    <w:rsid w:val="00896C20"/>
    <w:rsid w:val="00897111"/>
    <w:rsid w:val="00897274"/>
    <w:rsid w:val="00897A76"/>
    <w:rsid w:val="00897C80"/>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8AF"/>
    <w:rsid w:val="008B0D69"/>
    <w:rsid w:val="008B0F94"/>
    <w:rsid w:val="008B1474"/>
    <w:rsid w:val="008B2329"/>
    <w:rsid w:val="008B2D8C"/>
    <w:rsid w:val="008B371A"/>
    <w:rsid w:val="008B39CF"/>
    <w:rsid w:val="008B3A10"/>
    <w:rsid w:val="008B3C24"/>
    <w:rsid w:val="008B4137"/>
    <w:rsid w:val="008B422A"/>
    <w:rsid w:val="008B4257"/>
    <w:rsid w:val="008B43D8"/>
    <w:rsid w:val="008B44B3"/>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C8E"/>
    <w:rsid w:val="008E2159"/>
    <w:rsid w:val="008E2242"/>
    <w:rsid w:val="008E22BA"/>
    <w:rsid w:val="008E295A"/>
    <w:rsid w:val="008E2CCA"/>
    <w:rsid w:val="008E2D68"/>
    <w:rsid w:val="008E2FD8"/>
    <w:rsid w:val="008E3291"/>
    <w:rsid w:val="008E3AD1"/>
    <w:rsid w:val="008E3BFF"/>
    <w:rsid w:val="008E3E45"/>
    <w:rsid w:val="008E3F2D"/>
    <w:rsid w:val="008E446C"/>
    <w:rsid w:val="008E4550"/>
    <w:rsid w:val="008E45D9"/>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0CE"/>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7F3"/>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2FA3"/>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5C5"/>
    <w:rsid w:val="00995746"/>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171"/>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6FB4"/>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88C"/>
    <w:rsid w:val="00A55BB0"/>
    <w:rsid w:val="00A55C45"/>
    <w:rsid w:val="00A561FA"/>
    <w:rsid w:val="00A56486"/>
    <w:rsid w:val="00A5687B"/>
    <w:rsid w:val="00A56C8F"/>
    <w:rsid w:val="00A57E6D"/>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84F"/>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2DE5"/>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19A"/>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9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5A2"/>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AE4"/>
    <w:rsid w:val="00B06BF7"/>
    <w:rsid w:val="00B0741B"/>
    <w:rsid w:val="00B077EB"/>
    <w:rsid w:val="00B10624"/>
    <w:rsid w:val="00B10B67"/>
    <w:rsid w:val="00B11C08"/>
    <w:rsid w:val="00B11EDD"/>
    <w:rsid w:val="00B122F0"/>
    <w:rsid w:val="00B1233B"/>
    <w:rsid w:val="00B12368"/>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67F3"/>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2D60"/>
    <w:rsid w:val="00B53011"/>
    <w:rsid w:val="00B5389F"/>
    <w:rsid w:val="00B545C2"/>
    <w:rsid w:val="00B54A79"/>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4F3F"/>
    <w:rsid w:val="00B65014"/>
    <w:rsid w:val="00B65017"/>
    <w:rsid w:val="00B6551B"/>
    <w:rsid w:val="00B655CD"/>
    <w:rsid w:val="00B65AB8"/>
    <w:rsid w:val="00B65ABE"/>
    <w:rsid w:val="00B664AE"/>
    <w:rsid w:val="00B66C38"/>
    <w:rsid w:val="00B670F6"/>
    <w:rsid w:val="00B6745D"/>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D2A"/>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20D"/>
    <w:rsid w:val="00BB0773"/>
    <w:rsid w:val="00BB082A"/>
    <w:rsid w:val="00BB14D5"/>
    <w:rsid w:val="00BB20F0"/>
    <w:rsid w:val="00BB2419"/>
    <w:rsid w:val="00BB25E4"/>
    <w:rsid w:val="00BB29DF"/>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D4"/>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4FCB"/>
    <w:rsid w:val="00BD512E"/>
    <w:rsid w:val="00BD5527"/>
    <w:rsid w:val="00BD567E"/>
    <w:rsid w:val="00BD5D47"/>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68B4"/>
    <w:rsid w:val="00BE6DD3"/>
    <w:rsid w:val="00BE70CD"/>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6A5"/>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3AF3"/>
    <w:rsid w:val="00C24505"/>
    <w:rsid w:val="00C24B8B"/>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CE0"/>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718"/>
    <w:rsid w:val="00C429F5"/>
    <w:rsid w:val="00C42B1A"/>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2E34"/>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795"/>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58A"/>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3544"/>
    <w:rsid w:val="00C941F5"/>
    <w:rsid w:val="00C94356"/>
    <w:rsid w:val="00C94786"/>
    <w:rsid w:val="00C9499E"/>
    <w:rsid w:val="00C94E27"/>
    <w:rsid w:val="00C9523F"/>
    <w:rsid w:val="00C95343"/>
    <w:rsid w:val="00C955F5"/>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AB4"/>
    <w:rsid w:val="00CA3B6C"/>
    <w:rsid w:val="00CA404E"/>
    <w:rsid w:val="00CA432B"/>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974"/>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001"/>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25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1D6"/>
    <w:rsid w:val="00CF6DB8"/>
    <w:rsid w:val="00CF70CA"/>
    <w:rsid w:val="00CF7A5C"/>
    <w:rsid w:val="00CF7DFF"/>
    <w:rsid w:val="00CF7FE6"/>
    <w:rsid w:val="00D00605"/>
    <w:rsid w:val="00D00C7E"/>
    <w:rsid w:val="00D00D5C"/>
    <w:rsid w:val="00D01118"/>
    <w:rsid w:val="00D01220"/>
    <w:rsid w:val="00D01236"/>
    <w:rsid w:val="00D014C0"/>
    <w:rsid w:val="00D01C1B"/>
    <w:rsid w:val="00D020EE"/>
    <w:rsid w:val="00D02688"/>
    <w:rsid w:val="00D02CAE"/>
    <w:rsid w:val="00D02DA8"/>
    <w:rsid w:val="00D033FB"/>
    <w:rsid w:val="00D03456"/>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2CAF"/>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0D2C"/>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B1A"/>
    <w:rsid w:val="00D36D93"/>
    <w:rsid w:val="00D36DFE"/>
    <w:rsid w:val="00D37433"/>
    <w:rsid w:val="00D37B7C"/>
    <w:rsid w:val="00D41A65"/>
    <w:rsid w:val="00D41FB2"/>
    <w:rsid w:val="00D42983"/>
    <w:rsid w:val="00D4386A"/>
    <w:rsid w:val="00D43FDA"/>
    <w:rsid w:val="00D44B30"/>
    <w:rsid w:val="00D453BD"/>
    <w:rsid w:val="00D45765"/>
    <w:rsid w:val="00D45791"/>
    <w:rsid w:val="00D4579A"/>
    <w:rsid w:val="00D459D4"/>
    <w:rsid w:val="00D45A6F"/>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05B"/>
    <w:rsid w:val="00D656BA"/>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3C0"/>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1C3"/>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ACF"/>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7DE"/>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62B"/>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41"/>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34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2FC4"/>
    <w:rsid w:val="00E830C7"/>
    <w:rsid w:val="00E83750"/>
    <w:rsid w:val="00E84113"/>
    <w:rsid w:val="00E84546"/>
    <w:rsid w:val="00E85358"/>
    <w:rsid w:val="00E854A8"/>
    <w:rsid w:val="00E854CC"/>
    <w:rsid w:val="00E85608"/>
    <w:rsid w:val="00E859C6"/>
    <w:rsid w:val="00E85BB3"/>
    <w:rsid w:val="00E86C0A"/>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D9E"/>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27"/>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58B"/>
    <w:rsid w:val="00ED0784"/>
    <w:rsid w:val="00ED07A3"/>
    <w:rsid w:val="00ED0AF4"/>
    <w:rsid w:val="00ED0E3F"/>
    <w:rsid w:val="00ED1044"/>
    <w:rsid w:val="00ED1562"/>
    <w:rsid w:val="00ED15CF"/>
    <w:rsid w:val="00ED1AD2"/>
    <w:rsid w:val="00ED24CC"/>
    <w:rsid w:val="00ED2645"/>
    <w:rsid w:val="00ED28A7"/>
    <w:rsid w:val="00ED3487"/>
    <w:rsid w:val="00ED3815"/>
    <w:rsid w:val="00ED39A9"/>
    <w:rsid w:val="00ED3E3D"/>
    <w:rsid w:val="00ED3F69"/>
    <w:rsid w:val="00ED44A4"/>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0CEC"/>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5B5F"/>
    <w:rsid w:val="00F06569"/>
    <w:rsid w:val="00F066BF"/>
    <w:rsid w:val="00F07912"/>
    <w:rsid w:val="00F07C01"/>
    <w:rsid w:val="00F102D4"/>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32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4DF"/>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25"/>
    <w:rsid w:val="00F505E1"/>
    <w:rsid w:val="00F5129E"/>
    <w:rsid w:val="00F51B63"/>
    <w:rsid w:val="00F531AA"/>
    <w:rsid w:val="00F533A1"/>
    <w:rsid w:val="00F53BA7"/>
    <w:rsid w:val="00F549B4"/>
    <w:rsid w:val="00F54C36"/>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A44"/>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1A7"/>
    <w:rsid w:val="00F906BB"/>
    <w:rsid w:val="00F90718"/>
    <w:rsid w:val="00F907D2"/>
    <w:rsid w:val="00F9092D"/>
    <w:rsid w:val="00F90D61"/>
    <w:rsid w:val="00F914F0"/>
    <w:rsid w:val="00F92197"/>
    <w:rsid w:val="00F923EF"/>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0F96"/>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2E7D"/>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3931B1"/>
    <w:rsid w:val="015051F3"/>
    <w:rsid w:val="01793F6E"/>
    <w:rsid w:val="03F16F56"/>
    <w:rsid w:val="0434763B"/>
    <w:rsid w:val="056C0B5C"/>
    <w:rsid w:val="059B2FBB"/>
    <w:rsid w:val="05B66B2B"/>
    <w:rsid w:val="05C31792"/>
    <w:rsid w:val="06380D63"/>
    <w:rsid w:val="06C938D1"/>
    <w:rsid w:val="06D13BC6"/>
    <w:rsid w:val="07747E01"/>
    <w:rsid w:val="0775691E"/>
    <w:rsid w:val="082A6897"/>
    <w:rsid w:val="08966482"/>
    <w:rsid w:val="09063CAD"/>
    <w:rsid w:val="091128DB"/>
    <w:rsid w:val="091F2183"/>
    <w:rsid w:val="0938521E"/>
    <w:rsid w:val="0A726FAB"/>
    <w:rsid w:val="0AC91636"/>
    <w:rsid w:val="0AD74098"/>
    <w:rsid w:val="0AF31D7D"/>
    <w:rsid w:val="0C1578C9"/>
    <w:rsid w:val="0CFB40C7"/>
    <w:rsid w:val="105C4837"/>
    <w:rsid w:val="125263AC"/>
    <w:rsid w:val="12F708E7"/>
    <w:rsid w:val="12FB52D6"/>
    <w:rsid w:val="13C54761"/>
    <w:rsid w:val="144F009D"/>
    <w:rsid w:val="14E02C25"/>
    <w:rsid w:val="15F8258F"/>
    <w:rsid w:val="160541EE"/>
    <w:rsid w:val="164F7B75"/>
    <w:rsid w:val="175519EF"/>
    <w:rsid w:val="187E0711"/>
    <w:rsid w:val="198E3F9B"/>
    <w:rsid w:val="19977565"/>
    <w:rsid w:val="1A5E6A80"/>
    <w:rsid w:val="1AA908A3"/>
    <w:rsid w:val="1B4020D8"/>
    <w:rsid w:val="1B81057D"/>
    <w:rsid w:val="1C4140A3"/>
    <w:rsid w:val="1C7E3BD3"/>
    <w:rsid w:val="1D2B280C"/>
    <w:rsid w:val="1D5B4C92"/>
    <w:rsid w:val="1D5F76BA"/>
    <w:rsid w:val="1DB26589"/>
    <w:rsid w:val="1DE54287"/>
    <w:rsid w:val="1DF035A9"/>
    <w:rsid w:val="1EB2708E"/>
    <w:rsid w:val="21C02E2B"/>
    <w:rsid w:val="21F31B70"/>
    <w:rsid w:val="22394DC0"/>
    <w:rsid w:val="223E5B4F"/>
    <w:rsid w:val="2261677D"/>
    <w:rsid w:val="238D325A"/>
    <w:rsid w:val="248F342A"/>
    <w:rsid w:val="25C32E03"/>
    <w:rsid w:val="25EB7656"/>
    <w:rsid w:val="26455B2C"/>
    <w:rsid w:val="264575A1"/>
    <w:rsid w:val="26C167B6"/>
    <w:rsid w:val="27496E3C"/>
    <w:rsid w:val="2884631A"/>
    <w:rsid w:val="28A67D37"/>
    <w:rsid w:val="29AF71E8"/>
    <w:rsid w:val="29CC56AB"/>
    <w:rsid w:val="2A2B6CE0"/>
    <w:rsid w:val="2A807AE4"/>
    <w:rsid w:val="2ABE4B95"/>
    <w:rsid w:val="2C5C2FEC"/>
    <w:rsid w:val="2D202CAF"/>
    <w:rsid w:val="2D921625"/>
    <w:rsid w:val="2DD75F9C"/>
    <w:rsid w:val="2E464966"/>
    <w:rsid w:val="2E535EC2"/>
    <w:rsid w:val="2E683C59"/>
    <w:rsid w:val="2E871184"/>
    <w:rsid w:val="2F5838B9"/>
    <w:rsid w:val="3007171F"/>
    <w:rsid w:val="328A418D"/>
    <w:rsid w:val="3346489F"/>
    <w:rsid w:val="34785525"/>
    <w:rsid w:val="36164F55"/>
    <w:rsid w:val="365E056F"/>
    <w:rsid w:val="3676329D"/>
    <w:rsid w:val="36D24400"/>
    <w:rsid w:val="372F4478"/>
    <w:rsid w:val="38E4448D"/>
    <w:rsid w:val="3A10328B"/>
    <w:rsid w:val="3A622FD7"/>
    <w:rsid w:val="3C045223"/>
    <w:rsid w:val="3C0B377F"/>
    <w:rsid w:val="3C66551A"/>
    <w:rsid w:val="3D3F1B31"/>
    <w:rsid w:val="3D757E60"/>
    <w:rsid w:val="3DCE20FC"/>
    <w:rsid w:val="3E6A7347"/>
    <w:rsid w:val="3E78350E"/>
    <w:rsid w:val="3FCE5A5F"/>
    <w:rsid w:val="40061999"/>
    <w:rsid w:val="41766342"/>
    <w:rsid w:val="4195149B"/>
    <w:rsid w:val="419A3079"/>
    <w:rsid w:val="41B96EC5"/>
    <w:rsid w:val="42272596"/>
    <w:rsid w:val="42797BA2"/>
    <w:rsid w:val="4434225B"/>
    <w:rsid w:val="443D3D86"/>
    <w:rsid w:val="46A8131D"/>
    <w:rsid w:val="46D07642"/>
    <w:rsid w:val="46DB4C8A"/>
    <w:rsid w:val="47117ED3"/>
    <w:rsid w:val="477B44F2"/>
    <w:rsid w:val="47B63C6D"/>
    <w:rsid w:val="4A6045A0"/>
    <w:rsid w:val="4AA27C3D"/>
    <w:rsid w:val="4B1E335D"/>
    <w:rsid w:val="4B920C94"/>
    <w:rsid w:val="4C5002EC"/>
    <w:rsid w:val="4CC9678E"/>
    <w:rsid w:val="4D1F0167"/>
    <w:rsid w:val="4E273536"/>
    <w:rsid w:val="4E2931CA"/>
    <w:rsid w:val="4E4D5343"/>
    <w:rsid w:val="4F8A27BF"/>
    <w:rsid w:val="4FAF0931"/>
    <w:rsid w:val="50406436"/>
    <w:rsid w:val="52A0321A"/>
    <w:rsid w:val="52D25D57"/>
    <w:rsid w:val="52F014E6"/>
    <w:rsid w:val="53AC779A"/>
    <w:rsid w:val="541B64BA"/>
    <w:rsid w:val="54343997"/>
    <w:rsid w:val="550F4C67"/>
    <w:rsid w:val="55633225"/>
    <w:rsid w:val="55855327"/>
    <w:rsid w:val="55A209EE"/>
    <w:rsid w:val="560918AE"/>
    <w:rsid w:val="56134310"/>
    <w:rsid w:val="5670596C"/>
    <w:rsid w:val="56864D16"/>
    <w:rsid w:val="575F74D4"/>
    <w:rsid w:val="58AA2F55"/>
    <w:rsid w:val="59316355"/>
    <w:rsid w:val="5A0D7524"/>
    <w:rsid w:val="5A624644"/>
    <w:rsid w:val="5B1248DB"/>
    <w:rsid w:val="5B475FB3"/>
    <w:rsid w:val="5C3F0114"/>
    <w:rsid w:val="5D111C3D"/>
    <w:rsid w:val="5D52426E"/>
    <w:rsid w:val="5E19471E"/>
    <w:rsid w:val="5E6B3912"/>
    <w:rsid w:val="5EC475D6"/>
    <w:rsid w:val="5EFC6FEB"/>
    <w:rsid w:val="5FB574AB"/>
    <w:rsid w:val="60046178"/>
    <w:rsid w:val="60F65564"/>
    <w:rsid w:val="61F5344E"/>
    <w:rsid w:val="62DF6110"/>
    <w:rsid w:val="63BA7386"/>
    <w:rsid w:val="667C7355"/>
    <w:rsid w:val="66915186"/>
    <w:rsid w:val="67F9721F"/>
    <w:rsid w:val="688D6724"/>
    <w:rsid w:val="6A13360C"/>
    <w:rsid w:val="6A1B0A0D"/>
    <w:rsid w:val="6B297D4F"/>
    <w:rsid w:val="6B8B57B2"/>
    <w:rsid w:val="6BDC7C84"/>
    <w:rsid w:val="6C3C1BF0"/>
    <w:rsid w:val="6CEC68F6"/>
    <w:rsid w:val="6D376B5F"/>
    <w:rsid w:val="6DEB4013"/>
    <w:rsid w:val="700379F2"/>
    <w:rsid w:val="70534BFD"/>
    <w:rsid w:val="714F65D4"/>
    <w:rsid w:val="71D432D4"/>
    <w:rsid w:val="727805A8"/>
    <w:rsid w:val="738E1AE0"/>
    <w:rsid w:val="75307AD5"/>
    <w:rsid w:val="75532043"/>
    <w:rsid w:val="75FA3264"/>
    <w:rsid w:val="7656513E"/>
    <w:rsid w:val="767543BB"/>
    <w:rsid w:val="76A87E18"/>
    <w:rsid w:val="773853D9"/>
    <w:rsid w:val="7883331E"/>
    <w:rsid w:val="78A20C1B"/>
    <w:rsid w:val="78D7305C"/>
    <w:rsid w:val="796E749F"/>
    <w:rsid w:val="79951646"/>
    <w:rsid w:val="7B2569DF"/>
    <w:rsid w:val="7B4C0432"/>
    <w:rsid w:val="7B6F2B92"/>
    <w:rsid w:val="7BBB337B"/>
    <w:rsid w:val="7C0728B2"/>
    <w:rsid w:val="7C3B4CC2"/>
    <w:rsid w:val="7DDF358F"/>
    <w:rsid w:val="7E3C3FAA"/>
    <w:rsid w:val="7E86642D"/>
    <w:rsid w:val="7F0740B3"/>
    <w:rsid w:val="7F73742C"/>
    <w:rsid w:val="7F7A1B3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7"/>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7"/>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8"/>
    <w:qFormat/>
    <w:uiPriority w:val="0"/>
    <w:pPr>
      <w:tabs>
        <w:tab w:val="left" w:pos="720"/>
        <w:tab w:val="clear" w:pos="576"/>
      </w:tabs>
      <w:spacing w:before="120"/>
      <w:ind w:left="720" w:hanging="720"/>
      <w:outlineLvl w:val="2"/>
    </w:pPr>
    <w:rPr>
      <w:sz w:val="28"/>
    </w:rPr>
  </w:style>
  <w:style w:type="paragraph" w:styleId="5">
    <w:name w:val="heading 4"/>
    <w:basedOn w:val="4"/>
    <w:next w:val="1"/>
    <w:link w:val="39"/>
    <w:qFormat/>
    <w:uiPriority w:val="0"/>
    <w:pPr>
      <w:tabs>
        <w:tab w:val="left" w:pos="864"/>
        <w:tab w:val="clear" w:pos="720"/>
      </w:tabs>
      <w:ind w:left="864" w:hanging="864"/>
      <w:outlineLvl w:val="3"/>
    </w:pPr>
    <w:rPr>
      <w:sz w:val="20"/>
    </w:rPr>
  </w:style>
  <w:style w:type="paragraph" w:styleId="6">
    <w:name w:val="heading 5"/>
    <w:basedOn w:val="5"/>
    <w:next w:val="1"/>
    <w:link w:val="40"/>
    <w:qFormat/>
    <w:uiPriority w:val="0"/>
    <w:pPr>
      <w:tabs>
        <w:tab w:val="left" w:pos="1152"/>
        <w:tab w:val="clear" w:pos="864"/>
      </w:tabs>
      <w:ind w:left="1152" w:hanging="1152"/>
      <w:outlineLvl w:val="4"/>
    </w:pPr>
    <w:rPr>
      <w:sz w:val="22"/>
    </w:rPr>
  </w:style>
  <w:style w:type="paragraph" w:styleId="7">
    <w:name w:val="heading 7"/>
    <w:basedOn w:val="1"/>
    <w:next w:val="1"/>
    <w:link w:val="41"/>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2"/>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3"/>
    <w:qFormat/>
    <w:uiPriority w:val="0"/>
    <w:pPr>
      <w:tabs>
        <w:tab w:val="left" w:pos="1584"/>
        <w:tab w:val="clear" w:pos="1440"/>
      </w:tabs>
      <w:ind w:left="1584"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0">
    <w:name w:val="List 3"/>
    <w:basedOn w:val="1"/>
    <w:qFormat/>
    <w:uiPriority w:val="0"/>
    <w:pPr>
      <w:ind w:left="1135"/>
    </w:pPr>
  </w:style>
  <w:style w:type="paragraph" w:styleId="11">
    <w:name w:val="caption"/>
    <w:next w:val="1"/>
    <w:link w:val="46"/>
    <w:qFormat/>
    <w:uiPriority w:val="0"/>
    <w:pPr>
      <w:keepNext/>
      <w:spacing w:after="60"/>
    </w:pPr>
    <w:rPr>
      <w:rFonts w:ascii="Courier New" w:hAnsi="Courier New" w:cs="Times New Roman" w:eastAsiaTheme="minorEastAsia"/>
      <w:b/>
      <w:kern w:val="20"/>
      <w:sz w:val="16"/>
      <w:lang w:val="en-US" w:eastAsia="en-US" w:bidi="ar-SA"/>
    </w:rPr>
  </w:style>
  <w:style w:type="paragraph" w:styleId="12">
    <w:name w:val="Document Map"/>
    <w:basedOn w:val="1"/>
    <w:link w:val="28"/>
    <w:semiHidden/>
    <w:unhideWhenUsed/>
    <w:qFormat/>
    <w:uiPriority w:val="99"/>
    <w:rPr>
      <w:rFonts w:ascii="Cambria Math" w:hAnsi="Cambria Math" w:eastAsia="Cambria Math"/>
      <w:sz w:val="20"/>
      <w:szCs w:val="20"/>
    </w:rPr>
  </w:style>
  <w:style w:type="paragraph" w:styleId="13">
    <w:name w:val="annotation text"/>
    <w:basedOn w:val="1"/>
    <w:link w:val="49"/>
    <w:unhideWhenUsed/>
    <w:qFormat/>
    <w:uiPriority w:val="99"/>
  </w:style>
  <w:style w:type="paragraph" w:styleId="14">
    <w:name w:val="List 2"/>
    <w:basedOn w:val="15"/>
    <w:qFormat/>
    <w:uiPriority w:val="0"/>
    <w:pPr>
      <w:ind w:left="851"/>
    </w:pPr>
  </w:style>
  <w:style w:type="paragraph" w:styleId="15">
    <w:name w:val="List"/>
    <w:basedOn w:val="1"/>
    <w:semiHidden/>
    <w:unhideWhenUsed/>
    <w:qFormat/>
    <w:uiPriority w:val="99"/>
    <w:pPr>
      <w:ind w:left="200" w:hanging="200" w:hangingChars="200"/>
      <w:contextualSpacing/>
    </w:pPr>
  </w:style>
  <w:style w:type="paragraph" w:styleId="16">
    <w:name w:val="Balloon Text"/>
    <w:basedOn w:val="1"/>
    <w:link w:val="47"/>
    <w:semiHidden/>
    <w:unhideWhenUsed/>
    <w:qFormat/>
    <w:uiPriority w:val="99"/>
    <w:rPr>
      <w:rFonts w:ascii="Cambria Math" w:hAnsi="Cambria Math" w:eastAsia="Cambria Math"/>
      <w:sz w:val="18"/>
      <w:szCs w:val="18"/>
    </w:rPr>
  </w:style>
  <w:style w:type="paragraph" w:styleId="17">
    <w:name w:val="footer"/>
    <w:basedOn w:val="1"/>
    <w:link w:val="48"/>
    <w:unhideWhenUsed/>
    <w:qFormat/>
    <w:uiPriority w:val="99"/>
    <w:pPr>
      <w:tabs>
        <w:tab w:val="center" w:pos="4153"/>
        <w:tab w:val="right" w:pos="8306"/>
      </w:tabs>
      <w:snapToGrid w:val="0"/>
    </w:pPr>
    <w:rPr>
      <w:rFonts w:ascii="Cambria Math" w:hAnsi="Cambria Math"/>
      <w:sz w:val="18"/>
      <w:szCs w:val="18"/>
    </w:rPr>
  </w:style>
  <w:style w:type="paragraph" w:styleId="18">
    <w:name w:val="header"/>
    <w:basedOn w:val="1"/>
    <w:link w:val="26"/>
    <w:qFormat/>
    <w:uiPriority w:val="99"/>
    <w:pPr>
      <w:tabs>
        <w:tab w:val="center" w:pos="4153"/>
        <w:tab w:val="right" w:pos="8306"/>
      </w:tabs>
    </w:pPr>
    <w:rPr>
      <w:rFonts w:eastAsia="Courier New"/>
      <w:sz w:val="20"/>
      <w:szCs w:val="20"/>
      <w:lang w:eastAsia="en-US"/>
    </w:rPr>
  </w:style>
  <w:style w:type="paragraph" w:styleId="19">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20">
    <w:name w:val="annotation subject"/>
    <w:basedOn w:val="13"/>
    <w:next w:val="13"/>
    <w:link w:val="50"/>
    <w:semiHidden/>
    <w:unhideWhenUsed/>
    <w:qFormat/>
    <w:uiPriority w:val="99"/>
    <w:rPr>
      <w:rFonts w:ascii="Cambria Math" w:hAnsi="Cambria Math"/>
      <w:b/>
      <w:bCs/>
      <w:sz w:val="20"/>
      <w:szCs w:val="20"/>
    </w:rPr>
  </w:style>
  <w:style w:type="table" w:styleId="22">
    <w:name w:val="Table Grid"/>
    <w:basedOn w:val="21"/>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Hyperlink"/>
    <w:qFormat/>
    <w:uiPriority w:val="0"/>
    <w:rPr>
      <w:rFonts w:cs="Times New Roman"/>
      <w:color w:val="0000FF"/>
      <w:u w:val="single"/>
    </w:rPr>
  </w:style>
  <w:style w:type="character" w:styleId="25">
    <w:name w:val="annotation reference"/>
    <w:basedOn w:val="23"/>
    <w:semiHidden/>
    <w:unhideWhenUsed/>
    <w:qFormat/>
    <w:uiPriority w:val="99"/>
    <w:rPr>
      <w:sz w:val="21"/>
      <w:szCs w:val="21"/>
    </w:rPr>
  </w:style>
  <w:style w:type="character" w:customStyle="1" w:styleId="26">
    <w:name w:val="页眉 字符"/>
    <w:link w:val="18"/>
    <w:qFormat/>
    <w:uiPriority w:val="99"/>
    <w:rPr>
      <w:rFonts w:ascii="Times New Roman" w:hAnsi="Times New Roman" w:eastAsia="Courier New" w:cs="Times New Roman"/>
      <w:kern w:val="0"/>
      <w:sz w:val="20"/>
      <w:szCs w:val="20"/>
      <w:lang w:eastAsia="en-US"/>
    </w:rPr>
  </w:style>
  <w:style w:type="character" w:customStyle="1" w:styleId="27">
    <w:name w:val="标题 1 字符"/>
    <w:link w:val="2"/>
    <w:qFormat/>
    <w:uiPriority w:val="0"/>
    <w:rPr>
      <w:rFonts w:ascii="Arial" w:hAnsi="Arial"/>
      <w:b/>
      <w:bCs/>
      <w:kern w:val="44"/>
      <w:sz w:val="44"/>
      <w:szCs w:val="44"/>
    </w:rPr>
  </w:style>
  <w:style w:type="character" w:customStyle="1" w:styleId="28">
    <w:name w:val="文档结构图 字符"/>
    <w:link w:val="12"/>
    <w:semiHidden/>
    <w:qFormat/>
    <w:uiPriority w:val="99"/>
    <w:rPr>
      <w:rFonts w:ascii="Cambria Math" w:eastAsia="Cambria Math"/>
    </w:rPr>
  </w:style>
  <w:style w:type="paragraph" w:customStyle="1" w:styleId="29">
    <w:name w:val="TAC"/>
    <w:basedOn w:val="1"/>
    <w:link w:val="30"/>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30">
    <w:name w:val="TAC Char"/>
    <w:link w:val="29"/>
    <w:qFormat/>
    <w:uiPriority w:val="0"/>
    <w:rPr>
      <w:rFonts w:ascii="Courier New" w:hAnsi="Courier New" w:eastAsia="Yu Mincho Light" w:cs="Times New Roman"/>
      <w:kern w:val="0"/>
      <w:sz w:val="18"/>
      <w:szCs w:val="18"/>
      <w:lang w:val="en-GB"/>
    </w:rPr>
  </w:style>
  <w:style w:type="paragraph" w:customStyle="1" w:styleId="31">
    <w:name w:val="TH"/>
    <w:basedOn w:val="1"/>
    <w:link w:val="32"/>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2">
    <w:name w:val="TH Char"/>
    <w:link w:val="31"/>
    <w:qFormat/>
    <w:uiPriority w:val="0"/>
    <w:rPr>
      <w:rFonts w:ascii="Courier New" w:hAnsi="Courier New" w:eastAsia="Yu Mincho Light" w:cs="Times New Roman"/>
      <w:b/>
      <w:bCs/>
      <w:kern w:val="0"/>
      <w:sz w:val="20"/>
      <w:szCs w:val="20"/>
      <w:lang w:val="en-GB"/>
    </w:rPr>
  </w:style>
  <w:style w:type="paragraph" w:customStyle="1" w:styleId="33">
    <w:name w:val="TAH"/>
    <w:basedOn w:val="29"/>
    <w:link w:val="34"/>
    <w:qFormat/>
    <w:uiPriority w:val="0"/>
    <w:rPr>
      <w:b/>
      <w:bCs/>
    </w:rPr>
  </w:style>
  <w:style w:type="character" w:customStyle="1" w:styleId="34">
    <w:name w:val="TAH Car"/>
    <w:link w:val="33"/>
    <w:qFormat/>
    <w:uiPriority w:val="0"/>
    <w:rPr>
      <w:rFonts w:ascii="Courier New" w:hAnsi="Courier New" w:eastAsia="Yu Mincho Light" w:cs="Times New Roman"/>
      <w:b/>
      <w:bCs/>
      <w:kern w:val="0"/>
      <w:sz w:val="18"/>
      <w:szCs w:val="18"/>
      <w:lang w:val="en-GB"/>
    </w:rPr>
  </w:style>
  <w:style w:type="paragraph" w:customStyle="1" w:styleId="35">
    <w:name w:val="TAN"/>
    <w:basedOn w:val="1"/>
    <w:link w:val="36"/>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6">
    <w:name w:val="TAN Char"/>
    <w:link w:val="35"/>
    <w:qFormat/>
    <w:uiPriority w:val="0"/>
    <w:rPr>
      <w:rFonts w:ascii="Courier New" w:hAnsi="Courier New" w:eastAsia="Yu Mincho Light" w:cs="Times New Roman"/>
      <w:kern w:val="0"/>
      <w:sz w:val="18"/>
      <w:szCs w:val="18"/>
      <w:lang w:val="en-GB"/>
    </w:rPr>
  </w:style>
  <w:style w:type="character" w:customStyle="1" w:styleId="37">
    <w:name w:val="标题 2 字符"/>
    <w:link w:val="3"/>
    <w:qFormat/>
    <w:uiPriority w:val="0"/>
    <w:rPr>
      <w:rFonts w:ascii="Courier New" w:hAnsi="Courier New" w:eastAsia="Courier New" w:cs="Times New Roman"/>
      <w:kern w:val="0"/>
      <w:sz w:val="32"/>
      <w:szCs w:val="20"/>
      <w:lang w:val="en-GB" w:eastAsia="en-US"/>
    </w:rPr>
  </w:style>
  <w:style w:type="character" w:customStyle="1" w:styleId="38">
    <w:name w:val="标题 3 字符"/>
    <w:link w:val="4"/>
    <w:qFormat/>
    <w:uiPriority w:val="0"/>
    <w:rPr>
      <w:rFonts w:ascii="Courier New" w:hAnsi="Courier New" w:eastAsia="Courier New" w:cs="Times New Roman"/>
      <w:kern w:val="0"/>
      <w:sz w:val="28"/>
      <w:szCs w:val="20"/>
      <w:lang w:val="en-GB" w:eastAsia="en-US"/>
    </w:rPr>
  </w:style>
  <w:style w:type="character" w:customStyle="1" w:styleId="39">
    <w:name w:val="标题 4 字符"/>
    <w:link w:val="5"/>
    <w:qFormat/>
    <w:uiPriority w:val="0"/>
    <w:rPr>
      <w:rFonts w:ascii="Courier New" w:hAnsi="Courier New" w:eastAsia="Courier New" w:cs="Times New Roman"/>
      <w:kern w:val="0"/>
      <w:szCs w:val="20"/>
      <w:lang w:val="en-GB" w:eastAsia="en-US"/>
    </w:rPr>
  </w:style>
  <w:style w:type="character" w:customStyle="1" w:styleId="40">
    <w:name w:val="标题 5 字符"/>
    <w:link w:val="6"/>
    <w:qFormat/>
    <w:uiPriority w:val="0"/>
    <w:rPr>
      <w:rFonts w:ascii="Courier New" w:hAnsi="Courier New" w:eastAsia="Courier New" w:cs="Times New Roman"/>
      <w:kern w:val="0"/>
      <w:sz w:val="22"/>
      <w:szCs w:val="20"/>
      <w:lang w:val="en-GB" w:eastAsia="en-US"/>
    </w:rPr>
  </w:style>
  <w:style w:type="character" w:customStyle="1" w:styleId="41">
    <w:name w:val="标题 7 字符"/>
    <w:link w:val="7"/>
    <w:qFormat/>
    <w:uiPriority w:val="0"/>
    <w:rPr>
      <w:rFonts w:ascii="Courier New" w:hAnsi="Courier New" w:eastAsia="Courier New" w:cs="Times New Roman"/>
      <w:kern w:val="0"/>
      <w:sz w:val="20"/>
      <w:szCs w:val="20"/>
      <w:lang w:val="en-GB" w:eastAsia="en-US"/>
    </w:rPr>
  </w:style>
  <w:style w:type="character" w:customStyle="1" w:styleId="42">
    <w:name w:val="标题 8 字符"/>
    <w:link w:val="8"/>
    <w:qFormat/>
    <w:uiPriority w:val="0"/>
    <w:rPr>
      <w:rFonts w:ascii="Courier New" w:hAnsi="Courier New" w:eastAsia="Courier New" w:cs="Times New Roman"/>
      <w:kern w:val="0"/>
      <w:sz w:val="36"/>
      <w:szCs w:val="20"/>
      <w:lang w:val="en-GB" w:eastAsia="en-US"/>
    </w:rPr>
  </w:style>
  <w:style w:type="character" w:customStyle="1" w:styleId="43">
    <w:name w:val="标题 9 字符"/>
    <w:link w:val="9"/>
    <w:qFormat/>
    <w:uiPriority w:val="0"/>
    <w:rPr>
      <w:rFonts w:ascii="Courier New" w:hAnsi="Courier New" w:eastAsia="Courier New" w:cs="Times New Roman"/>
      <w:kern w:val="0"/>
      <w:sz w:val="36"/>
      <w:szCs w:val="20"/>
      <w:lang w:val="en-GB" w:eastAsia="en-US"/>
    </w:rPr>
  </w:style>
  <w:style w:type="paragraph" w:customStyle="1" w:styleId="44">
    <w:name w:val="彩色列表 - 强调文字颜色 11"/>
    <w:basedOn w:val="1"/>
    <w:qFormat/>
    <w:uiPriority w:val="34"/>
    <w:pPr>
      <w:ind w:firstLine="420" w:firstLineChars="200"/>
    </w:pPr>
    <w:rPr>
      <w:rFonts w:ascii="Yu Mincho Light" w:hAnsi="Yu Mincho Light"/>
      <w:sz w:val="20"/>
      <w:szCs w:val="20"/>
    </w:rPr>
  </w:style>
  <w:style w:type="paragraph" w:customStyle="1" w:styleId="45">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6">
    <w:name w:val="题注 字符"/>
    <w:link w:val="11"/>
    <w:qFormat/>
    <w:uiPriority w:val="0"/>
    <w:rPr>
      <w:rFonts w:ascii="Courier New" w:hAnsi="Courier New"/>
      <w:b/>
      <w:kern w:val="20"/>
      <w:sz w:val="16"/>
      <w:lang w:eastAsia="en-US" w:bidi="ar-SA"/>
    </w:rPr>
  </w:style>
  <w:style w:type="character" w:customStyle="1" w:styleId="47">
    <w:name w:val="批注框文本 字符"/>
    <w:link w:val="16"/>
    <w:semiHidden/>
    <w:qFormat/>
    <w:uiPriority w:val="99"/>
    <w:rPr>
      <w:rFonts w:ascii="Cambria Math" w:eastAsia="Cambria Math"/>
      <w:sz w:val="18"/>
      <w:szCs w:val="18"/>
    </w:rPr>
  </w:style>
  <w:style w:type="character" w:customStyle="1" w:styleId="48">
    <w:name w:val="页脚 字符"/>
    <w:link w:val="17"/>
    <w:qFormat/>
    <w:uiPriority w:val="99"/>
    <w:rPr>
      <w:sz w:val="18"/>
      <w:szCs w:val="18"/>
    </w:rPr>
  </w:style>
  <w:style w:type="character" w:customStyle="1" w:styleId="49">
    <w:name w:val="批注文字 字符"/>
    <w:basedOn w:val="23"/>
    <w:link w:val="13"/>
    <w:qFormat/>
    <w:uiPriority w:val="99"/>
  </w:style>
  <w:style w:type="character" w:customStyle="1" w:styleId="50">
    <w:name w:val="批注主题 字符"/>
    <w:link w:val="20"/>
    <w:semiHidden/>
    <w:qFormat/>
    <w:uiPriority w:val="99"/>
    <w:rPr>
      <w:b/>
      <w:bCs/>
    </w:rPr>
  </w:style>
  <w:style w:type="paragraph" w:customStyle="1" w:styleId="51">
    <w:name w:val="B1"/>
    <w:basedOn w:val="15"/>
    <w:link w:val="52"/>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2">
    <w:name w:val="B1 Char1"/>
    <w:link w:val="51"/>
    <w:qFormat/>
    <w:uiPriority w:val="0"/>
    <w:rPr>
      <w:rFonts w:ascii="Times New Roman" w:hAnsi="Times New Roman" w:eastAsia="Times New Roman" w:cs="Times New Roman"/>
      <w:kern w:val="0"/>
      <w:sz w:val="20"/>
      <w:szCs w:val="20"/>
      <w:lang w:val="en-GB" w:eastAsia="en-US"/>
    </w:rPr>
  </w:style>
  <w:style w:type="character" w:customStyle="1" w:styleId="53">
    <w:name w:val="B1 Char"/>
    <w:qFormat/>
    <w:locked/>
    <w:uiPriority w:val="0"/>
    <w:rPr>
      <w:lang w:val="en-GB"/>
    </w:rPr>
  </w:style>
  <w:style w:type="paragraph" w:customStyle="1" w:styleId="54">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5">
    <w:name w:val="首标题"/>
    <w:qFormat/>
    <w:uiPriority w:val="0"/>
    <w:rPr>
      <w:rFonts w:ascii="Courier New" w:hAnsi="Courier New" w:eastAsia="Yu Mincho Light"/>
      <w:sz w:val="24"/>
      <w:lang w:val="en-US" w:eastAsia="zh-CN" w:bidi="ar-SA"/>
    </w:rPr>
  </w:style>
  <w:style w:type="paragraph" w:customStyle="1" w:styleId="56">
    <w:name w:val="插图题注"/>
    <w:basedOn w:val="1"/>
    <w:qFormat/>
    <w:uiPriority w:val="0"/>
    <w:pPr>
      <w:spacing w:after="180"/>
    </w:pPr>
    <w:rPr>
      <w:sz w:val="20"/>
      <w:szCs w:val="20"/>
      <w:lang w:val="en-GB" w:eastAsia="en-US"/>
    </w:rPr>
  </w:style>
  <w:style w:type="paragraph" w:customStyle="1" w:styleId="57">
    <w:name w:val="表格题注"/>
    <w:basedOn w:val="1"/>
    <w:qFormat/>
    <w:uiPriority w:val="0"/>
    <w:pPr>
      <w:spacing w:after="180"/>
    </w:pPr>
    <w:rPr>
      <w:sz w:val="20"/>
      <w:szCs w:val="20"/>
      <w:lang w:val="en-GB" w:eastAsia="en-US"/>
    </w:rPr>
  </w:style>
  <w:style w:type="paragraph" w:customStyle="1" w:styleId="58">
    <w:name w:val="TAL"/>
    <w:basedOn w:val="1"/>
    <w:link w:val="59"/>
    <w:qFormat/>
    <w:uiPriority w:val="0"/>
    <w:pPr>
      <w:keepNext/>
      <w:keepLines/>
    </w:pPr>
    <w:rPr>
      <w:rFonts w:ascii="Courier New" w:hAnsi="Courier New"/>
      <w:sz w:val="18"/>
      <w:szCs w:val="20"/>
      <w:lang w:val="en-GB" w:eastAsia="en-US"/>
    </w:rPr>
  </w:style>
  <w:style w:type="character" w:customStyle="1" w:styleId="59">
    <w:name w:val="TAL Car"/>
    <w:link w:val="58"/>
    <w:qFormat/>
    <w:uiPriority w:val="0"/>
    <w:rPr>
      <w:rFonts w:ascii="Courier New" w:hAnsi="Courier New"/>
      <w:sz w:val="18"/>
      <w:lang w:val="en-GB" w:eastAsia="en-US"/>
    </w:rPr>
  </w:style>
  <w:style w:type="paragraph" w:customStyle="1" w:styleId="60">
    <w:name w:val="中等深浅网格 1 - 着色 21"/>
    <w:basedOn w:val="1"/>
    <w:link w:val="61"/>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1">
    <w:name w:val="中等深浅网格 1 - 着色 2 字符"/>
    <w:link w:val="60"/>
    <w:qFormat/>
    <w:locked/>
    <w:uiPriority w:val="34"/>
    <w:rPr>
      <w:rFonts w:ascii="Times New Roman" w:hAnsi="Times New Roman" w:eastAsia="Yu Mincho Light"/>
      <w:lang w:val="en-GB" w:eastAsia="ja-JP"/>
    </w:rPr>
  </w:style>
  <w:style w:type="character" w:customStyle="1" w:styleId="62">
    <w:name w:val="TAL Char"/>
    <w:qFormat/>
    <w:uiPriority w:val="0"/>
    <w:rPr>
      <w:rFonts w:ascii="Courier New" w:hAnsi="Courier New" w:eastAsia="Yu Mincho Light"/>
      <w:sz w:val="18"/>
      <w:lang w:val="en-GB" w:eastAsia="zh-CN"/>
    </w:rPr>
  </w:style>
  <w:style w:type="paragraph" w:customStyle="1" w:styleId="6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4">
    <w:name w:val="Doc-title"/>
    <w:basedOn w:val="1"/>
    <w:next w:val="65"/>
    <w:link w:val="67"/>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5">
    <w:name w:val="Doc-text2"/>
    <w:basedOn w:val="1"/>
    <w:link w:val="66"/>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6">
    <w:name w:val="Doc-text2 Char"/>
    <w:link w:val="65"/>
    <w:qFormat/>
    <w:uiPriority w:val="0"/>
    <w:rPr>
      <w:rFonts w:ascii="Courier New" w:hAnsi="Courier New" w:eastAsia="Courier New"/>
      <w:szCs w:val="24"/>
      <w:lang w:eastAsia="en-GB"/>
    </w:rPr>
  </w:style>
  <w:style w:type="character" w:customStyle="1" w:styleId="67">
    <w:name w:val="Doc-title Char"/>
    <w:link w:val="64"/>
    <w:qFormat/>
    <w:uiPriority w:val="0"/>
    <w:rPr>
      <w:rFonts w:ascii="Courier New" w:hAnsi="Courier New" w:eastAsia="Courier New"/>
      <w:szCs w:val="24"/>
      <w:lang w:eastAsia="en-GB"/>
    </w:rPr>
  </w:style>
  <w:style w:type="paragraph" w:customStyle="1" w:styleId="68">
    <w:name w:val="EmailDiscussion2"/>
    <w:basedOn w:val="65"/>
    <w:qFormat/>
    <w:uiPriority w:val="0"/>
  </w:style>
  <w:style w:type="paragraph" w:customStyle="1" w:styleId="69">
    <w:name w:val="H6"/>
    <w:basedOn w:val="6"/>
    <w:next w:val="1"/>
    <w:link w:val="70"/>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70">
    <w:name w:val="H6 Char"/>
    <w:link w:val="69"/>
    <w:qFormat/>
    <w:uiPriority w:val="0"/>
    <w:rPr>
      <w:rFonts w:ascii="Courier New" w:hAnsi="Courier New" w:eastAsia="Yu Mincho Light"/>
      <w:lang w:val="en-GB" w:eastAsia="en-US"/>
    </w:rPr>
  </w:style>
  <w:style w:type="paragraph" w:customStyle="1" w:styleId="71">
    <w:name w:val="NO"/>
    <w:basedOn w:val="1"/>
    <w:link w:val="72"/>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2">
    <w:name w:val="NO Char1"/>
    <w:link w:val="71"/>
    <w:qFormat/>
    <w:uiPriority w:val="0"/>
    <w:rPr>
      <w:rFonts w:ascii="Times New Roman" w:hAnsi="Times New Roman" w:eastAsia="Times New Roman"/>
      <w:lang w:val="en-GB"/>
    </w:rPr>
  </w:style>
  <w:style w:type="character" w:customStyle="1" w:styleId="73">
    <w:name w:val="页眉 Char"/>
    <w:qFormat/>
    <w:uiPriority w:val="0"/>
    <w:rPr>
      <w:rFonts w:ascii="Courier New" w:hAnsi="Courier New"/>
      <w:b/>
      <w:sz w:val="18"/>
      <w:lang w:eastAsia="en-US"/>
    </w:rPr>
  </w:style>
  <w:style w:type="paragraph" w:customStyle="1" w:styleId="74">
    <w:name w:val="CR Cover Page"/>
    <w:link w:val="75"/>
    <w:qFormat/>
    <w:uiPriority w:val="0"/>
    <w:pPr>
      <w:spacing w:after="120"/>
    </w:pPr>
    <w:rPr>
      <w:rFonts w:ascii="Arial" w:hAnsi="Arial" w:eastAsia="Courier New" w:cs="Cambria Math"/>
      <w:lang w:val="en-GB" w:eastAsia="en-US" w:bidi="ar-SA"/>
    </w:rPr>
  </w:style>
  <w:style w:type="character" w:customStyle="1" w:styleId="75">
    <w:name w:val="CR Cover Page Char"/>
    <w:link w:val="74"/>
    <w:qFormat/>
    <w:uiPriority w:val="0"/>
    <w:rPr>
      <w:rFonts w:ascii="Arial" w:hAnsi="Arial" w:eastAsia="Courier New" w:cs="Cambria Math"/>
      <w:lang w:val="en-GB" w:eastAsia="en-US" w:bidi="ar-SA"/>
    </w:rPr>
  </w:style>
  <w:style w:type="paragraph" w:styleId="76">
    <w:name w:val="List Paragraph"/>
    <w:basedOn w:val="1"/>
    <w:link w:val="77"/>
    <w:qFormat/>
    <w:uiPriority w:val="34"/>
    <w:pPr>
      <w:ind w:firstLine="420" w:firstLineChars="200"/>
    </w:pPr>
    <w:rPr>
      <w:rFonts w:eastAsia="Times New Roman" w:cs="宋体"/>
    </w:rPr>
  </w:style>
  <w:style w:type="character" w:customStyle="1" w:styleId="77">
    <w:name w:val="列表段落 字符"/>
    <w:link w:val="76"/>
    <w:qFormat/>
    <w:locked/>
    <w:uiPriority w:val="34"/>
    <w:rPr>
      <w:rFonts w:ascii="Times New Roman" w:hAnsi="Times New Roman" w:eastAsia="Times New Roman" w:cs="宋体"/>
      <w:sz w:val="24"/>
      <w:szCs w:val="24"/>
    </w:rPr>
  </w:style>
  <w:style w:type="paragraph" w:customStyle="1" w:styleId="78">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9">
    <w:name w:val="正文1"/>
    <w:qFormat/>
    <w:uiPriority w:val="0"/>
    <w:pPr>
      <w:jc w:val="both"/>
    </w:pPr>
    <w:rPr>
      <w:rFonts w:ascii="Times New Roman" w:hAnsi="Times New Roman" w:eastAsia="宋体" w:cs="Times New Roman"/>
      <w:kern w:val="2"/>
      <w:sz w:val="21"/>
      <w:szCs w:val="21"/>
      <w:lang w:val="en-US" w:eastAsia="zh-CN" w:bidi="ar-SA"/>
    </w:rPr>
  </w:style>
  <w:style w:type="character" w:styleId="80">
    <w:name w:val="Placeholder Text"/>
    <w:basedOn w:val="23"/>
    <w:unhideWhenUsed/>
    <w:qFormat/>
    <w:uiPriority w:val="99"/>
    <w:rPr>
      <w:color w:val="808080"/>
    </w:rPr>
  </w:style>
  <w:style w:type="paragraph" w:customStyle="1" w:styleId="81">
    <w:name w:val="PL"/>
    <w:link w:val="8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2">
    <w:name w:val="PL Char"/>
    <w:link w:val="81"/>
    <w:qFormat/>
    <w:uiPriority w:val="0"/>
    <w:rPr>
      <w:rFonts w:ascii="Courier New" w:hAnsi="Courier New" w:eastAsia="Times New Roman"/>
      <w:sz w:val="16"/>
      <w:shd w:val="clear" w:color="auto" w:fill="E6E6E6"/>
      <w:lang w:val="en-GB" w:eastAsia="en-GB"/>
    </w:rPr>
  </w:style>
  <w:style w:type="paragraph" w:customStyle="1" w:styleId="83">
    <w:name w:val="Proposal"/>
    <w:basedOn w:val="1"/>
    <w:link w:val="84"/>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4">
    <w:name w:val="Proposal Char"/>
    <w:link w:val="83"/>
    <w:qFormat/>
    <w:uiPriority w:val="0"/>
    <w:rPr>
      <w:rFonts w:ascii="Arial" w:hAnsi="Arial" w:eastAsia="宋体"/>
      <w:b/>
      <w:bCs/>
      <w:lang w:val="en-GB"/>
    </w:rPr>
  </w:style>
  <w:style w:type="character" w:customStyle="1" w:styleId="85">
    <w:name w:val="normaltextrun"/>
    <w:basedOn w:val="23"/>
    <w:qFormat/>
    <w:uiPriority w:val="0"/>
  </w:style>
  <w:style w:type="paragraph" w:customStyle="1" w:styleId="86">
    <w:name w:val="Comments"/>
    <w:basedOn w:val="1"/>
    <w:link w:val="87"/>
    <w:qFormat/>
    <w:uiPriority w:val="0"/>
    <w:pPr>
      <w:spacing w:before="40"/>
    </w:pPr>
    <w:rPr>
      <w:rFonts w:ascii="Arial" w:hAnsi="Arial" w:eastAsia="MS Mincho"/>
      <w:i/>
      <w:sz w:val="18"/>
      <w:lang w:val="en-GB" w:eastAsia="en-GB"/>
    </w:rPr>
  </w:style>
  <w:style w:type="character" w:customStyle="1" w:styleId="87">
    <w:name w:val="Comments Char"/>
    <w:link w:val="86"/>
    <w:qFormat/>
    <w:uiPriority w:val="0"/>
    <w:rPr>
      <w:rFonts w:ascii="Arial" w:hAnsi="Arial" w:eastAsia="MS Mincho"/>
      <w:i/>
      <w:sz w:val="18"/>
      <w:szCs w:val="24"/>
      <w:lang w:val="en-GB" w:eastAsia="en-GB"/>
    </w:rPr>
  </w:style>
  <w:style w:type="paragraph" w:customStyle="1" w:styleId="88">
    <w:name w:val="B3"/>
    <w:basedOn w:val="10"/>
    <w:qFormat/>
    <w:uiPriority w:val="0"/>
  </w:style>
  <w:style w:type="paragraph" w:customStyle="1" w:styleId="89">
    <w:name w:val="B2"/>
    <w:basedOn w:val="14"/>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Pages>
  <Words>1416</Words>
  <Characters>8076</Characters>
  <Lines>67</Lines>
  <Paragraphs>18</Paragraphs>
  <TotalTime>0</TotalTime>
  <ScaleCrop>false</ScaleCrop>
  <LinksUpToDate>false</LinksUpToDate>
  <CharactersWithSpaces>9474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2024-11-08T07:32:25Z</dcterms:modified>
  <cp:revision>165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3F7F152D7F8A40E285BF429EB61BAE41</vt:lpwstr>
  </property>
</Properties>
</file>